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016E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s="黑体"/>
          <w:sz w:val="40"/>
          <w:szCs w:val="40"/>
          <w:lang w:val="en-US" w:eastAsia="zh-CN"/>
        </w:rPr>
      </w:pPr>
      <w:bookmarkStart w:id="0" w:name="_Toc29970"/>
    </w:p>
    <w:p w14:paraId="49AE1F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s="黑体"/>
          <w:sz w:val="40"/>
          <w:szCs w:val="40"/>
          <w:lang w:val="en-US" w:eastAsia="zh-CN"/>
        </w:rPr>
      </w:pPr>
      <w:r>
        <w:rPr>
          <w:rFonts w:hint="eastAsia" w:ascii="黑体" w:hAnsi="黑体" w:eastAsia="黑体" w:cs="黑体"/>
          <w:sz w:val="40"/>
          <w:szCs w:val="40"/>
          <w:lang w:val="en-US" w:eastAsia="zh-CN"/>
        </w:rPr>
        <w:t>宁南县智慧教育建设项目</w:t>
      </w:r>
    </w:p>
    <w:p w14:paraId="1F9015F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s="黑体"/>
          <w:sz w:val="40"/>
          <w:szCs w:val="40"/>
          <w:lang w:val="en-US" w:eastAsia="zh-CN"/>
        </w:rPr>
      </w:pPr>
      <w:r>
        <w:rPr>
          <w:rFonts w:hint="eastAsia" w:ascii="黑体" w:hAnsi="黑体" w:eastAsia="黑体" w:cs="黑体"/>
          <w:sz w:val="40"/>
          <w:szCs w:val="40"/>
          <w:lang w:val="en-US" w:eastAsia="zh-CN"/>
        </w:rPr>
        <w:t>情况说明</w:t>
      </w:r>
    </w:p>
    <w:p w14:paraId="6D040395">
      <w:pPr>
        <w:numPr>
          <w:ilvl w:val="0"/>
          <w:numId w:val="0"/>
        </w:numPr>
        <w:spacing w:beforeLines="50" w:afterLines="50" w:line="360" w:lineRule="auto"/>
        <w:jc w:val="both"/>
        <w:outlineLvl w:val="0"/>
        <w:rPr>
          <w:rFonts w:hint="eastAsia" w:ascii="仿宋" w:hAnsi="仿宋" w:eastAsia="仿宋"/>
          <w:b/>
          <w:bCs/>
          <w:sz w:val="32"/>
          <w:szCs w:val="32"/>
        </w:rPr>
      </w:pPr>
      <w:r>
        <w:rPr>
          <w:rFonts w:hint="eastAsia" w:ascii="仿宋" w:hAnsi="仿宋" w:eastAsia="仿宋"/>
          <w:b/>
          <w:bCs/>
          <w:sz w:val="32"/>
          <w:szCs w:val="32"/>
          <w:lang w:val="en-US" w:eastAsia="zh-CN"/>
        </w:rPr>
        <w:t>一、</w:t>
      </w:r>
      <w:r>
        <w:rPr>
          <w:rFonts w:hint="eastAsia" w:ascii="仿宋" w:hAnsi="仿宋" w:eastAsia="仿宋"/>
          <w:b/>
          <w:bCs/>
          <w:sz w:val="32"/>
          <w:szCs w:val="32"/>
        </w:rPr>
        <w:t>项目基本情况</w:t>
      </w:r>
      <w:bookmarkEnd w:id="0"/>
    </w:p>
    <w:p w14:paraId="14D50E0F">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sz w:val="32"/>
          <w:szCs w:val="32"/>
          <w:lang w:val="en-US"/>
        </w:rPr>
      </w:pPr>
      <w:bookmarkStart w:id="1" w:name="_Toc498385714"/>
      <w:bookmarkStart w:id="2" w:name="_Toc498385045"/>
      <w:bookmarkStart w:id="3" w:name="_Toc29907"/>
      <w:bookmarkStart w:id="4" w:name="_Toc29323"/>
      <w:r>
        <w:rPr>
          <w:rFonts w:hint="eastAsia" w:ascii="仿宋" w:hAnsi="仿宋" w:eastAsia="仿宋" w:cs="仿宋"/>
          <w:b/>
          <w:bCs/>
          <w:sz w:val="32"/>
          <w:szCs w:val="32"/>
          <w:lang w:val="en-US"/>
        </w:rPr>
        <w:t>（一）</w:t>
      </w:r>
      <w:bookmarkEnd w:id="1"/>
      <w:bookmarkEnd w:id="2"/>
      <w:r>
        <w:rPr>
          <w:rFonts w:hint="eastAsia" w:ascii="仿宋" w:hAnsi="仿宋" w:eastAsia="仿宋" w:cs="仿宋"/>
          <w:b/>
          <w:bCs/>
          <w:sz w:val="32"/>
          <w:szCs w:val="32"/>
          <w:lang w:val="en-US"/>
        </w:rPr>
        <w:t>行业专项规划概况</w:t>
      </w:r>
      <w:bookmarkEnd w:id="3"/>
      <w:bookmarkEnd w:id="4"/>
    </w:p>
    <w:p w14:paraId="4695F927">
      <w:pPr>
        <w:bidi w:val="0"/>
        <w:rPr>
          <w:rFonts w:hint="default" w:ascii="Times New Roman" w:hAnsi="Times New Roman"/>
          <w:lang w:val="en-US" w:eastAsia="zh-CN"/>
        </w:rPr>
      </w:pPr>
      <w:bookmarkStart w:id="5" w:name="_Toc9841"/>
      <w:bookmarkStart w:id="6" w:name="_Toc21332"/>
      <w:bookmarkStart w:id="7" w:name="_Toc30768"/>
      <w:bookmarkStart w:id="8" w:name="_Toc3378"/>
      <w:bookmarkStart w:id="9" w:name="_Toc8651"/>
      <w:bookmarkStart w:id="10" w:name="_Toc18204"/>
      <w:bookmarkStart w:id="11" w:name="_Toc19274"/>
      <w:bookmarkStart w:id="12" w:name="_Toc30057"/>
      <w:bookmarkStart w:id="13" w:name="_Toc29490"/>
      <w:r>
        <w:rPr>
          <w:rFonts w:hint="default" w:ascii="Times New Roman" w:hAnsi="Times New Roman"/>
          <w:lang w:val="en-US" w:eastAsia="zh-CN"/>
        </w:rPr>
        <w:t>（1）</w:t>
      </w:r>
      <w:r>
        <w:rPr>
          <w:rFonts w:hint="eastAsia"/>
          <w:lang w:val="en-US" w:eastAsia="zh-CN"/>
        </w:rPr>
        <w:t>宁南县</w:t>
      </w:r>
      <w:r>
        <w:rPr>
          <w:rFonts w:hint="default" w:ascii="Times New Roman" w:hAnsi="Times New Roman"/>
          <w:lang w:val="en-US" w:eastAsia="zh-CN"/>
        </w:rPr>
        <w:t>社会发展现状</w:t>
      </w:r>
    </w:p>
    <w:p w14:paraId="581997AE">
      <w:pPr>
        <w:bidi w:val="0"/>
        <w:rPr>
          <w:rFonts w:hint="default" w:ascii="Times New Roman" w:hAnsi="Times New Roman"/>
          <w:lang w:val="en-US" w:eastAsia="zh-CN"/>
        </w:rPr>
      </w:pPr>
      <w:r>
        <w:rPr>
          <w:rFonts w:hint="default" w:ascii="Times New Roman" w:hAnsi="Times New Roman"/>
          <w:lang w:val="en-US" w:eastAsia="zh-CN"/>
        </w:rPr>
        <w:t>宁南县位于四川省凉山彝族自治州东南部，东以金沙江为界，与云南省巧家县隔水相望，南与会东县毗邻，西与会理市接壤，西北角与德昌县相连，北与普格县、布拖县相连。南北长52公里，东西宽43.5公里，辖区面积1670.29平方千米。县城距州府西昌市120余公里，县人民政府驻地宁远镇。县辖13个镇、79个行政村、12个社区，498个村民小组、40个社区居民小组。2024年年末全县人口总户数5.24万户，户籍总人口20.39万人。其中，女性9.86万人、占总人口的48.4%，男性10.53万人、占总人口的51.6%；少数民族人口6.28万人，占总人口的30.8％（彝族人口5.92万人，占总人口的29.0%）。</w:t>
      </w:r>
    </w:p>
    <w:p w14:paraId="140D23A6">
      <w:pPr>
        <w:bidi w:val="0"/>
        <w:rPr>
          <w:rFonts w:hint="default" w:ascii="Times New Roman" w:hAnsi="Times New Roman"/>
          <w:lang w:val="en-US" w:eastAsia="zh-CN"/>
        </w:rPr>
      </w:pPr>
      <w:r>
        <w:rPr>
          <w:rFonts w:hint="default" w:ascii="Times New Roman" w:hAnsi="Times New Roman"/>
          <w:lang w:val="en-US" w:eastAsia="zh-CN"/>
        </w:rPr>
        <w:t>（2）经济发展现状</w:t>
      </w:r>
    </w:p>
    <w:p w14:paraId="6A1E54D6">
      <w:pPr>
        <w:bidi w:val="0"/>
        <w:rPr>
          <w:rFonts w:hint="default" w:ascii="Times New Roman" w:hAnsi="Times New Roman"/>
          <w:lang w:val="en-US" w:eastAsia="zh-CN"/>
        </w:rPr>
      </w:pPr>
      <w:r>
        <w:rPr>
          <w:rFonts w:hint="default" w:ascii="Times New Roman" w:hAnsi="Times New Roman"/>
          <w:lang w:val="en-US" w:eastAsia="zh-CN"/>
        </w:rPr>
        <w:t>2024年，全县地区生产总值实现108.68亿元，按不变价格计算，同比增长7.0%。分产业看：第一产业实现增加值32.00亿元，增长2.6%，对GDP增长的贡献率为12.4%，拉动GDP增长0.9个百分点；第二产业实现增加值43.58亿元，增长10.0%，对GDP增长的贡献率为47.3%，拉动GDP增长3.3个百分点；第三产业实现增加值33.10亿元，增长8.2%，对GDP增长的贡献率为40.3%，拉动GDP增长2.8个百分点。三次产业结构由上年的30.0:39.0:31.0调整为30.5:40.1:29.4。实现民营经济（个体、私营）增加值47.92亿元，占GDP的比重为44.1%，按可比价计算（下同），比上年增长6.2%，拉动全县经济增长2.9个百分点。其中：第一产业民营增加值30.83亿元，比上年增长1.9%，拉动全县民营经济增长1.3个百分点；第二产业民营增加值4.0亿元，比上年增长27.5%，拉动全县民营经济增长1.8个百分点；第三产业民营增加值13.09亿元，比上年增长12.4%，拉动全县民营经济增长3.1个百分点。</w:t>
      </w:r>
    </w:p>
    <w:p w14:paraId="164A230E">
      <w:pPr>
        <w:numPr>
          <w:ilvl w:val="0"/>
          <w:numId w:val="1"/>
        </w:numPr>
        <w:bidi w:val="0"/>
        <w:rPr>
          <w:rFonts w:hint="eastAsia" w:ascii="Times New Roman" w:hAnsi="Times New Roman"/>
          <w:lang w:val="en-US" w:eastAsia="zh-CN"/>
        </w:rPr>
      </w:pPr>
      <w:r>
        <w:rPr>
          <w:rFonts w:hint="eastAsia" w:ascii="Times New Roman" w:hAnsi="Times New Roman"/>
          <w:lang w:val="en-US" w:eastAsia="zh-CN"/>
        </w:rPr>
        <w:t>行业专项规划概况</w:t>
      </w:r>
    </w:p>
    <w:p w14:paraId="5FFFDA3F">
      <w:pPr>
        <w:bidi w:val="0"/>
        <w:rPr>
          <w:rFonts w:hint="default" w:ascii="Times New Roman" w:hAnsi="Times New Roman"/>
          <w:lang w:val="en-US" w:eastAsia="zh-CN"/>
        </w:rPr>
      </w:pPr>
      <w:r>
        <w:rPr>
          <w:rFonts w:hint="default" w:ascii="Times New Roman" w:hAnsi="Times New Roman"/>
          <w:lang w:val="en-US" w:eastAsia="zh-CN"/>
        </w:rPr>
        <w:t>《关于加快推进教育数字化的意见》指出：完善国家智慧教育“四横五纵”平台资源布局。以国家智慧教育公共服务平台（以下简称国家平台）为枢纽，集成各级优质平台、资源、服务，逐步实现入口统一、资源共享、数据融通。围绕基础教育、职业教育、高等教育、终身教育四大领域和德智体美劳五大版块建设汇聚精品资源。鼓励各地各校、行业企业发挥优势开发精品资源。基础教育建设覆盖国家课程教材、适配不同学情的精品课程资源和科学教育、文化艺术资源。高等教育、职业教育建设覆盖各学科的精品数字课程、虚拟仿真实习实践、学位论文与实践成果等资源。增加思政、体育、美育、劳动教育、特殊教育、语言文字等资源供给。提升平台智能化水平，增强平台开放性，创新资源新形态，增强资源交互性，实现个性化智能推荐。完善资源开发、上线、应用、评价和退出全生命周期管理机制。建立资源评价标准，分级分类开展动态评价，完善专家评估和用户反馈机制，实行数字资源收录和收藏证书制度，推进资源精品化、体系化、专业化，构建高质量资源供给生态。</w:t>
      </w:r>
    </w:p>
    <w:p w14:paraId="568AA26D">
      <w:pPr>
        <w:bidi w:val="0"/>
        <w:rPr>
          <w:rFonts w:hint="default" w:ascii="Times New Roman" w:hAnsi="Times New Roman"/>
          <w:lang w:val="en-US" w:eastAsia="zh-CN"/>
        </w:rPr>
      </w:pPr>
      <w:r>
        <w:rPr>
          <w:rFonts w:hint="default" w:ascii="Times New Roman" w:hAnsi="Times New Roman"/>
          <w:lang w:val="en-US" w:eastAsia="zh-CN"/>
        </w:rPr>
        <w:t>《四川省“十四五”教育发展规划》提出，推进教育信息化。推进教育新基建。构建结构优化、集约高效、安全可靠的教育新型基础设施体系，整合提升教育管理和教育资源公共服务平台，建设四川教育大数据平台。建设优质数字教育资源。推进“平台+教育”服务模式，完善数字教育资源公共服务体系，建设泛在开放的学习环境。实施“教育大资源共享计划”，系统建设线上基础教育、职业教育教学资源和高等教育一流课程，面向农村、边远和民族地区开发英语、数学、科学和音体美等急需数字教育资源。深化普及“专递课堂”“名师课堂”“名校网络课堂”建设与应用，加快建设以“四川云教”为主体的公益性在线教育平台，扩大优质教育覆盖面。建设以县为中心、以乡镇为节点、以村校为末梢的城乡一体化直播数字互动学校。支持开展“互联网+教育”试点建设。</w:t>
      </w:r>
    </w:p>
    <w:p w14:paraId="2297DA28">
      <w:pPr>
        <w:bidi w:val="0"/>
        <w:rPr>
          <w:rFonts w:hint="default" w:ascii="Times New Roman" w:hAnsi="Times New Roman"/>
          <w:lang w:val="en-US" w:eastAsia="zh-CN"/>
        </w:rPr>
      </w:pPr>
      <w:r>
        <w:rPr>
          <w:rFonts w:hint="default" w:ascii="Times New Roman" w:hAnsi="Times New Roman"/>
          <w:lang w:val="en-US" w:eastAsia="zh-CN"/>
        </w:rPr>
        <w:t>《凉山州教育和体育事业发展“十四五”规划（2021—2025年）》提出积极构建“互联网+教育”，高速推动教育信息化。主要包含：</w:t>
      </w:r>
    </w:p>
    <w:p w14:paraId="6B8F323F">
      <w:pPr>
        <w:bidi w:val="0"/>
        <w:rPr>
          <w:rFonts w:hint="default" w:ascii="Times New Roman" w:hAnsi="Times New Roman"/>
          <w:lang w:val="en-US" w:eastAsia="zh-CN"/>
        </w:rPr>
      </w:pPr>
      <w:r>
        <w:rPr>
          <w:rFonts w:hint="default" w:ascii="Times New Roman" w:hAnsi="Times New Roman"/>
          <w:lang w:val="en-US" w:eastAsia="zh-CN"/>
        </w:rPr>
        <w:t>1）构建教育信息化新基建。将平台体系、信息网络、硬件设施设备等建设作为新基建的重要内容，加快构建教育新型基础设施建设。配齐信息化教学硬件设施设备。</w:t>
      </w:r>
    </w:p>
    <w:p w14:paraId="1E67AE8D">
      <w:pPr>
        <w:bidi w:val="0"/>
        <w:rPr>
          <w:rFonts w:hint="default" w:ascii="Times New Roman" w:hAnsi="Times New Roman"/>
          <w:lang w:val="en-US" w:eastAsia="zh-CN"/>
        </w:rPr>
      </w:pPr>
      <w:r>
        <w:rPr>
          <w:rFonts w:hint="default" w:ascii="Times New Roman" w:hAnsi="Times New Roman"/>
          <w:lang w:val="en-US" w:eastAsia="zh-CN"/>
        </w:rPr>
        <w:t>2）扩大优质数字资源覆盖面。构建“平台+教育”服务模式，提升我州数字教育资源公共服务能力。利用优质数字资源丰富课堂教学内容，教师常态化使用信息化手段开展课堂教学，推进信息化与学科教学深度融合。</w:t>
      </w:r>
    </w:p>
    <w:p w14:paraId="60615A08">
      <w:pPr>
        <w:bidi w:val="0"/>
        <w:rPr>
          <w:rFonts w:hint="default" w:ascii="Times New Roman" w:hAnsi="Times New Roman"/>
          <w:lang w:val="en-US" w:eastAsia="zh-CN"/>
        </w:rPr>
      </w:pPr>
      <w:r>
        <w:rPr>
          <w:rFonts w:hint="default" w:ascii="Times New Roman" w:hAnsi="Times New Roman"/>
          <w:lang w:val="en-US" w:eastAsia="zh-CN"/>
        </w:rPr>
        <w:t>3）加快教育管理信息化。加速教育治理数字化转型，实现各类信息系统互联互通、数据有序流动和开放共享。加强教育管理信息化建设，优化教育业务管理信息系统，规范教育系统网站的管理。加快推进智慧教育创新发展，结合学校教育教学及管理需要，积极开展智慧教育学校创建，推进校园智能化管理。</w:t>
      </w:r>
    </w:p>
    <w:p w14:paraId="4AA74B91">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jc w:val="both"/>
        <w:textAlignment w:val="auto"/>
        <w:rPr>
          <w:rFonts w:hint="default" w:ascii="黑体" w:hAnsi="黑体" w:eastAsia="黑体" w:cs="黑体"/>
          <w:sz w:val="32"/>
          <w:szCs w:val="32"/>
          <w:lang w:val="en-US" w:eastAsia="zh-CN"/>
        </w:rPr>
      </w:pPr>
      <w:r>
        <w:rPr>
          <w:rFonts w:hint="eastAsia" w:ascii="仿宋" w:hAnsi="仿宋" w:eastAsia="仿宋" w:cs="仿宋"/>
          <w:b/>
          <w:bCs/>
          <w:sz w:val="32"/>
          <w:szCs w:val="32"/>
          <w:lang w:val="en-US" w:eastAsia="zh-CN"/>
        </w:rPr>
        <w:t>（二）项目情况</w:t>
      </w:r>
      <w:bookmarkEnd w:id="5"/>
      <w:bookmarkEnd w:id="6"/>
      <w:bookmarkEnd w:id="7"/>
      <w:bookmarkEnd w:id="8"/>
      <w:bookmarkEnd w:id="9"/>
      <w:bookmarkEnd w:id="10"/>
      <w:bookmarkEnd w:id="11"/>
      <w:bookmarkEnd w:id="12"/>
    </w:p>
    <w:p w14:paraId="2413FCDD">
      <w:pPr>
        <w:pStyle w:val="5"/>
        <w:outlineLvl w:val="9"/>
        <w:rPr>
          <w:rFonts w:hint="eastAsia" w:ascii="仿宋" w:hAnsi="仿宋" w:eastAsia="仿宋" w:cs="仿宋"/>
          <w:b/>
          <w:bCs/>
          <w:sz w:val="32"/>
          <w:szCs w:val="32"/>
          <w:lang w:val="en-US" w:eastAsia="zh-CN"/>
        </w:rPr>
      </w:pPr>
      <w:bookmarkStart w:id="14" w:name="_Toc7914"/>
      <w:bookmarkStart w:id="15" w:name="_Toc14119"/>
      <w:bookmarkStart w:id="16" w:name="_Toc23988"/>
      <w:bookmarkStart w:id="17" w:name="_Toc11692"/>
      <w:bookmarkStart w:id="18" w:name="_Toc21872"/>
      <w:bookmarkStart w:id="19" w:name="_Toc9265"/>
      <w:bookmarkStart w:id="20" w:name="_Toc1064"/>
      <w:bookmarkStart w:id="21" w:name="_Toc6078"/>
      <w:r>
        <w:rPr>
          <w:rFonts w:hint="eastAsia" w:ascii="仿宋" w:hAnsi="仿宋" w:eastAsia="仿宋" w:cs="仿宋"/>
          <w:b/>
          <w:bCs/>
          <w:sz w:val="32"/>
          <w:szCs w:val="32"/>
          <w:lang w:val="en-US" w:eastAsia="zh-CN"/>
        </w:rPr>
        <w:t>1.参与主体</w:t>
      </w:r>
      <w:bookmarkEnd w:id="14"/>
      <w:bookmarkEnd w:id="15"/>
      <w:bookmarkEnd w:id="16"/>
      <w:bookmarkEnd w:id="17"/>
      <w:bookmarkEnd w:id="18"/>
      <w:bookmarkEnd w:id="19"/>
      <w:bookmarkEnd w:id="20"/>
      <w:bookmarkEnd w:id="21"/>
    </w:p>
    <w:p w14:paraId="562C1710">
      <w:pPr>
        <w:bidi w:val="0"/>
        <w:rPr>
          <w:rFonts w:hint="default"/>
          <w:lang w:val="en-US" w:eastAsia="zh-CN"/>
        </w:rPr>
      </w:pPr>
      <w:r>
        <w:rPr>
          <w:rFonts w:hint="eastAsia"/>
          <w:lang w:val="en-US" w:eastAsia="zh-CN"/>
        </w:rPr>
        <w:t>主管部门：</w:t>
      </w:r>
      <w:r>
        <w:rPr>
          <w:rFonts w:hint="eastAsia" w:ascii="仿宋" w:hAnsi="仿宋" w:cs="仿宋"/>
          <w:sz w:val="32"/>
          <w:szCs w:val="32"/>
          <w:lang w:val="en-US" w:eastAsia="zh-CN"/>
        </w:rPr>
        <w:t>宁南县发展和改革局</w:t>
      </w:r>
      <w:r>
        <w:rPr>
          <w:rFonts w:hint="eastAsia"/>
          <w:lang w:val="en-US" w:eastAsia="zh-CN"/>
        </w:rPr>
        <w:t>。</w:t>
      </w:r>
    </w:p>
    <w:p w14:paraId="36E435DE">
      <w:pPr>
        <w:bidi w:val="0"/>
        <w:rPr>
          <w:rFonts w:hint="eastAsia"/>
          <w:lang w:val="en-US" w:eastAsia="zh-CN"/>
        </w:rPr>
      </w:pPr>
      <w:r>
        <w:rPr>
          <w:rFonts w:hint="eastAsia"/>
          <w:lang w:val="en-US" w:eastAsia="zh-CN"/>
        </w:rPr>
        <w:t>业主单位：</w:t>
      </w:r>
      <w:r>
        <w:rPr>
          <w:rFonts w:hint="eastAsia" w:ascii="仿宋" w:hAnsi="仿宋" w:cs="仿宋"/>
          <w:sz w:val="32"/>
          <w:szCs w:val="32"/>
          <w:lang w:val="en-US" w:eastAsia="zh-CN"/>
        </w:rPr>
        <w:t>宁南县教育和体育局</w:t>
      </w:r>
      <w:r>
        <w:rPr>
          <w:rFonts w:hint="eastAsia"/>
          <w:lang w:val="en-US" w:eastAsia="zh-CN"/>
        </w:rPr>
        <w:t>。</w:t>
      </w:r>
    </w:p>
    <w:p w14:paraId="48A57B72">
      <w:pPr>
        <w:pageBreakBefore w:val="0"/>
        <w:numPr>
          <w:ilvl w:val="2"/>
          <w:numId w:val="0"/>
        </w:numPr>
        <w:tabs>
          <w:tab w:val="left" w:pos="0"/>
        </w:tabs>
        <w:kinsoku/>
        <w:wordWrap/>
        <w:overflowPunct/>
        <w:topLinePunct w:val="0"/>
        <w:bidi w:val="0"/>
        <w:spacing w:before="381" w:after="190" w:line="360" w:lineRule="auto"/>
        <w:ind w:firstLine="643" w:firstLineChars="200"/>
        <w:outlineLvl w:val="9"/>
        <w:rPr>
          <w:rFonts w:hint="eastAsia" w:ascii="仿宋" w:hAnsi="仿宋" w:eastAsia="仿宋" w:cs="仿宋"/>
          <w:b/>
          <w:bCs/>
          <w:kern w:val="0"/>
          <w:sz w:val="32"/>
          <w:szCs w:val="32"/>
          <w:lang w:val="en-US" w:eastAsia="zh-CN" w:bidi="ar-SA"/>
        </w:rPr>
      </w:pPr>
      <w:bookmarkStart w:id="22" w:name="_Toc4294"/>
      <w:bookmarkStart w:id="23" w:name="_Toc10923"/>
      <w:bookmarkStart w:id="24" w:name="_Toc16934"/>
      <w:bookmarkStart w:id="25" w:name="_Toc14972"/>
      <w:bookmarkStart w:id="26" w:name="_Toc5326"/>
      <w:bookmarkStart w:id="27" w:name="_Toc22356"/>
      <w:bookmarkStart w:id="28" w:name="_Toc30046"/>
      <w:bookmarkStart w:id="29" w:name="_Toc9122"/>
      <w:bookmarkStart w:id="30" w:name="_Toc6630"/>
      <w:r>
        <w:rPr>
          <w:rFonts w:hint="eastAsia" w:ascii="仿宋" w:hAnsi="仿宋" w:eastAsia="仿宋" w:cs="仿宋"/>
          <w:b/>
          <w:bCs/>
          <w:kern w:val="0"/>
          <w:sz w:val="32"/>
          <w:szCs w:val="32"/>
          <w:lang w:val="en-US" w:eastAsia="zh-CN" w:bidi="ar-SA"/>
        </w:rPr>
        <w:t>2.项目概况</w:t>
      </w:r>
      <w:bookmarkEnd w:id="22"/>
      <w:bookmarkEnd w:id="23"/>
      <w:bookmarkEnd w:id="24"/>
      <w:bookmarkEnd w:id="25"/>
      <w:bookmarkEnd w:id="26"/>
      <w:bookmarkEnd w:id="27"/>
      <w:bookmarkEnd w:id="28"/>
      <w:bookmarkEnd w:id="29"/>
      <w:bookmarkEnd w:id="30"/>
    </w:p>
    <w:p w14:paraId="6C775F3C">
      <w:pPr>
        <w:bidi w:val="0"/>
        <w:rPr>
          <w:rFonts w:hint="eastAsia" w:ascii="Times New Roman" w:hAnsi="Times New Roman"/>
          <w:lang w:val="en-US" w:eastAsia="zh-CN"/>
        </w:rPr>
      </w:pPr>
      <w:r>
        <w:rPr>
          <w:rFonts w:hint="eastAsia"/>
          <w:lang w:val="en-US" w:eastAsia="zh-CN"/>
        </w:rPr>
        <w:t>项目名称：宁南县智慧教育建设项目</w:t>
      </w:r>
      <w:r>
        <w:rPr>
          <w:rFonts w:hint="eastAsia" w:ascii="Times New Roman" w:hAnsi="Times New Roman"/>
          <w:lang w:val="en-US" w:eastAsia="zh-CN"/>
        </w:rPr>
        <w:t>。</w:t>
      </w:r>
    </w:p>
    <w:p w14:paraId="0CE9CF3B">
      <w:pPr>
        <w:bidi w:val="0"/>
        <w:rPr>
          <w:rFonts w:hint="eastAsia"/>
          <w:lang w:val="en-US" w:eastAsia="zh-CN"/>
        </w:rPr>
      </w:pPr>
      <w:r>
        <w:rPr>
          <w:rFonts w:hint="eastAsia"/>
          <w:lang w:val="en-US" w:eastAsia="zh-CN"/>
        </w:rPr>
        <w:t>项目所属领域：新型基础设施－市政、公共服务农业等民生领域信息化。</w:t>
      </w:r>
    </w:p>
    <w:p w14:paraId="388D7012">
      <w:pPr>
        <w:bidi w:val="0"/>
        <w:rPr>
          <w:rFonts w:hint="eastAsia"/>
          <w:lang w:val="en-US" w:eastAsia="zh-CN"/>
        </w:rPr>
      </w:pPr>
      <w:r>
        <w:rPr>
          <w:rFonts w:hint="eastAsia"/>
          <w:lang w:val="en-US" w:eastAsia="zh-CN"/>
        </w:rPr>
        <w:t>项目建设工期：2025年8月—2026年7月</w:t>
      </w:r>
      <w:r>
        <w:rPr>
          <w:rFonts w:hint="eastAsia"/>
          <w:color w:val="auto"/>
          <w:lang w:val="en-US" w:eastAsia="zh-CN"/>
        </w:rPr>
        <w:t>，24</w:t>
      </w:r>
      <w:r>
        <w:rPr>
          <w:rFonts w:hint="eastAsia"/>
          <w:lang w:val="en-US" w:eastAsia="zh-CN"/>
        </w:rPr>
        <w:t>个月。</w:t>
      </w:r>
    </w:p>
    <w:p w14:paraId="2C8C1D43">
      <w:pPr>
        <w:bidi w:val="0"/>
        <w:rPr>
          <w:rFonts w:hint="eastAsia"/>
          <w:lang w:val="en-US" w:eastAsia="zh-CN"/>
        </w:rPr>
      </w:pPr>
      <w:r>
        <w:rPr>
          <w:rFonts w:hint="eastAsia"/>
          <w:lang w:val="en-US" w:eastAsia="zh-CN"/>
        </w:rPr>
        <w:t>项目区位：</w:t>
      </w:r>
      <w:r>
        <w:rPr>
          <w:rFonts w:hint="default" w:ascii="Times New Roman" w:hAnsi="Times New Roman" w:cs="Times New Roman"/>
          <w:color w:val="auto"/>
          <w:szCs w:val="28"/>
          <w:highlight w:val="none"/>
          <w:lang w:eastAsia="zh-CN"/>
        </w:rPr>
        <w:t>宁南县</w:t>
      </w:r>
      <w:r>
        <w:rPr>
          <w:rFonts w:hint="default" w:ascii="Times New Roman" w:hAnsi="Times New Roman" w:cs="Times New Roman"/>
          <w:color w:val="auto"/>
          <w:szCs w:val="28"/>
          <w:highlight w:val="none"/>
          <w:lang w:val="en-US" w:eastAsia="zh-CN"/>
        </w:rPr>
        <w:t>教育局、宁南中学、宁南县职业技术学校、宁南县初级中学校、宁南县民族初级中学校、宁南县三峡白鹤滩学校、宁南县朝阳小学、宁南县民族小学、宁南县宁远镇披砂小学、宁南县宁远镇景星小学、宁南县华弹镇小学、宁南县白鹤滩镇小学、宁南县松新镇小学、宁南县三峡松新南苑小学、宁南县竹寿镇小学、宁南县跑马镇小学</w:t>
      </w:r>
      <w:r>
        <w:rPr>
          <w:rFonts w:hint="eastAsia"/>
          <w:lang w:val="en-US" w:eastAsia="zh-CN"/>
        </w:rPr>
        <w:t>。</w:t>
      </w:r>
    </w:p>
    <w:p w14:paraId="30E9E10D">
      <w:pPr>
        <w:bidi w:val="0"/>
        <w:rPr>
          <w:rFonts w:hint="eastAsia"/>
          <w:lang w:val="en-US" w:eastAsia="zh-CN"/>
        </w:rPr>
      </w:pPr>
      <w:r>
        <w:rPr>
          <w:rFonts w:hint="eastAsia"/>
          <w:lang w:val="en-US" w:eastAsia="zh-CN"/>
        </w:rPr>
        <w:t>建设内容：项目涉及宁南县15所学校，主要建设宁南县智慧教育大平台，提供配套软硬件服务，通过“1+1+1+N”构建宁南智慧教育生态，“1云”：教育行业云；“1网”：教育城域网；“1中心”：运营管理中心，包含大数据平台及监管平台；“N应用”：包括公共支撑与决策系统、教学与成长管理系统、校园智能管理系统、数字化学习系统、AI教育应用系统等。</w:t>
      </w:r>
    </w:p>
    <w:p w14:paraId="125E108E">
      <w:pPr>
        <w:bidi w:val="0"/>
        <w:rPr>
          <w:rFonts w:hint="eastAsia"/>
          <w:lang w:val="en-US" w:eastAsia="zh-CN"/>
        </w:rPr>
      </w:pPr>
      <w:r>
        <w:rPr>
          <w:rFonts w:hint="eastAsia"/>
          <w:lang w:val="en-US" w:eastAsia="zh-CN"/>
        </w:rPr>
        <w:t>本项目不涉及新增算力（数据）中心及土建工程，不存在信息系统重复建设情况，不存在新增巨幅大屏等新形象工程。存在新增大屏等形象工程。</w:t>
      </w:r>
    </w:p>
    <w:bookmarkEnd w:id="13"/>
    <w:p w14:paraId="1F2121B7">
      <w:pPr>
        <w:numPr>
          <w:ilvl w:val="0"/>
          <w:numId w:val="0"/>
        </w:numPr>
        <w:spacing w:beforeLines="50" w:afterLines="50" w:line="360" w:lineRule="auto"/>
        <w:jc w:val="both"/>
        <w:outlineLvl w:val="0"/>
        <w:rPr>
          <w:rFonts w:hint="eastAsia" w:ascii="仿宋" w:hAnsi="仿宋" w:eastAsia="仿宋"/>
          <w:b/>
          <w:bCs/>
          <w:sz w:val="32"/>
          <w:szCs w:val="32"/>
          <w:lang w:val="en-US" w:eastAsia="zh-CN"/>
        </w:rPr>
      </w:pPr>
      <w:bookmarkStart w:id="31" w:name="_Toc522211065"/>
      <w:bookmarkStart w:id="32" w:name="_Toc533440322"/>
      <w:bookmarkStart w:id="33" w:name="_Toc1403"/>
      <w:bookmarkStart w:id="34" w:name="_Toc1720132"/>
      <w:bookmarkStart w:id="35" w:name="_Toc523481534"/>
      <w:r>
        <w:rPr>
          <w:rFonts w:hint="eastAsia" w:ascii="仿宋" w:hAnsi="仿宋" w:eastAsia="仿宋"/>
          <w:b/>
          <w:bCs/>
          <w:sz w:val="32"/>
          <w:szCs w:val="32"/>
          <w:lang w:val="en-US" w:eastAsia="zh-CN"/>
        </w:rPr>
        <w:t>二、经济社会效益分析</w:t>
      </w:r>
      <w:bookmarkEnd w:id="31"/>
      <w:bookmarkEnd w:id="32"/>
      <w:bookmarkEnd w:id="33"/>
      <w:bookmarkEnd w:id="34"/>
      <w:bookmarkEnd w:id="35"/>
    </w:p>
    <w:p w14:paraId="1AAEC97E">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sz w:val="32"/>
          <w:szCs w:val="32"/>
          <w:lang w:val="en-US"/>
        </w:rPr>
      </w:pPr>
      <w:bookmarkStart w:id="36" w:name="_Toc17794"/>
      <w:bookmarkStart w:id="37" w:name="_Toc522211066"/>
      <w:bookmarkStart w:id="38" w:name="_Toc523481535"/>
      <w:bookmarkStart w:id="39" w:name="_Toc1720133"/>
      <w:bookmarkStart w:id="40" w:name="_Toc533440323"/>
      <w:r>
        <w:rPr>
          <w:rFonts w:hint="eastAsia" w:ascii="仿宋" w:hAnsi="仿宋" w:eastAsia="仿宋" w:cs="仿宋"/>
          <w:b/>
          <w:bCs/>
          <w:sz w:val="32"/>
          <w:szCs w:val="32"/>
          <w:lang w:val="en-US"/>
        </w:rPr>
        <w:t>（一）经济效益分析</w:t>
      </w:r>
      <w:bookmarkEnd w:id="36"/>
      <w:bookmarkEnd w:id="37"/>
      <w:bookmarkEnd w:id="38"/>
      <w:bookmarkEnd w:id="39"/>
      <w:bookmarkEnd w:id="40"/>
    </w:p>
    <w:p w14:paraId="4B7AD19D">
      <w:pPr>
        <w:bidi w:val="0"/>
        <w:rPr>
          <w:rFonts w:hint="default" w:ascii="Times New Roman" w:hAnsi="Times New Roman"/>
          <w:lang w:val="en-US" w:eastAsia="zh-CN"/>
        </w:rPr>
      </w:pPr>
      <w:bookmarkStart w:id="41" w:name="_Toc22039"/>
      <w:bookmarkStart w:id="42" w:name="_Toc19515"/>
      <w:bookmarkStart w:id="43" w:name="_Toc523157055"/>
      <w:bookmarkStart w:id="44" w:name="_Toc1720136"/>
      <w:bookmarkStart w:id="45" w:name="_Toc23271"/>
      <w:bookmarkStart w:id="46" w:name="_Toc533440326"/>
      <w:bookmarkStart w:id="47" w:name="_Toc523481538"/>
      <w:r>
        <w:rPr>
          <w:rFonts w:hint="eastAsia"/>
          <w:lang w:val="en-US" w:eastAsia="zh-CN"/>
        </w:rPr>
        <w:t>1、</w:t>
      </w:r>
      <w:r>
        <w:rPr>
          <w:rFonts w:hint="default" w:ascii="Times New Roman" w:hAnsi="Times New Roman"/>
          <w:lang w:val="en-US" w:eastAsia="zh-CN"/>
        </w:rPr>
        <w:t>降低教育运行成本，提升资源利用效率</w:t>
      </w:r>
      <w:bookmarkEnd w:id="41"/>
      <w:bookmarkEnd w:id="42"/>
    </w:p>
    <w:p w14:paraId="3DE35AFB">
      <w:pPr>
        <w:bidi w:val="0"/>
        <w:rPr>
          <w:rFonts w:hint="default" w:ascii="Times New Roman" w:hAnsi="Times New Roman"/>
          <w:lang w:val="en-US" w:eastAsia="zh-CN"/>
        </w:rPr>
      </w:pPr>
      <w:r>
        <w:rPr>
          <w:rFonts w:hint="default" w:ascii="Times New Roman" w:hAnsi="Times New Roman"/>
          <w:lang w:val="en-US" w:eastAsia="zh-CN"/>
        </w:rPr>
        <w:t>项目通过“1云+1网”构建统一的教育基础设施底座，避免15所学校各自重复建设本地存储设备及独立网络系统。统一的教育行业云可实现计算资源、存储资源的动态分配，15所学校按需使用，大幅减少硬件闲置率，降低整体硬件采购与运维成本。另一方面，运营管理中心的大数据平台与监管平台可实现对15所学校教学运行、资源使用、设备状态等数据的实时监控与分析，从精细化管理角度降低学校日常运营成本。</w:t>
      </w:r>
    </w:p>
    <w:p w14:paraId="6D06FDDE">
      <w:pPr>
        <w:bidi w:val="0"/>
        <w:rPr>
          <w:rFonts w:hint="default"/>
          <w:lang w:val="en-US" w:eastAsia="zh-CN"/>
        </w:rPr>
      </w:pPr>
      <w:bookmarkStart w:id="48" w:name="_Toc4988"/>
      <w:bookmarkStart w:id="49" w:name="_Toc14698"/>
      <w:r>
        <w:rPr>
          <w:rFonts w:hint="eastAsia"/>
          <w:lang w:val="en-US" w:eastAsia="zh-CN"/>
        </w:rPr>
        <w:t>2、</w:t>
      </w:r>
      <w:r>
        <w:rPr>
          <w:rFonts w:hint="default"/>
          <w:lang w:val="en-US" w:eastAsia="zh-CN"/>
        </w:rPr>
        <w:t>赋能区域经济长远发展，培育潜在经济增长点</w:t>
      </w:r>
      <w:bookmarkEnd w:id="48"/>
      <w:bookmarkEnd w:id="49"/>
    </w:p>
    <w:p w14:paraId="5D53F163">
      <w:pPr>
        <w:bidi w:val="0"/>
        <w:rPr>
          <w:rFonts w:hint="default" w:ascii="Times New Roman" w:hAnsi="Times New Roman"/>
          <w:lang w:val="en-US" w:eastAsia="zh-CN"/>
        </w:rPr>
      </w:pPr>
      <w:r>
        <w:rPr>
          <w:rFonts w:hint="default" w:ascii="Times New Roman" w:hAnsi="Times New Roman"/>
          <w:lang w:val="en-US" w:eastAsia="zh-CN"/>
        </w:rPr>
        <w:t>项目通过“N应用”中的数字化学习系统、AI教育应用系统等，为15所学校学生提供优质、个性化的教育资源，提升区域整体教育质量。优质教育将培养更多具备数字化素养、创新能力的人才，这些人才未来无论是留在本地就业还是外出深造后返乡，都将成为宁南县产业发展的核心劳动力，为区域经济增长提供长期人力资本支撑。同时，项目建成后形成的智慧教育模式，可能吸引周边县域借鉴，形成区域性智慧教育服务输出潜力，为宁南县培育数字教育服务产业奠定基础。</w:t>
      </w:r>
    </w:p>
    <w:p w14:paraId="56AFAC06">
      <w:pPr>
        <w:bidi w:val="0"/>
        <w:rPr>
          <w:rFonts w:hint="default"/>
          <w:lang w:val="en-US" w:eastAsia="zh-CN"/>
        </w:rPr>
      </w:pPr>
      <w:bookmarkStart w:id="50" w:name="_Toc18788"/>
      <w:bookmarkStart w:id="51" w:name="_Toc25812"/>
      <w:r>
        <w:rPr>
          <w:rFonts w:hint="eastAsia"/>
          <w:lang w:val="en-US" w:eastAsia="zh-CN"/>
        </w:rPr>
        <w:t>3、</w:t>
      </w:r>
      <w:r>
        <w:rPr>
          <w:rFonts w:hint="default"/>
          <w:lang w:val="en-US" w:eastAsia="zh-CN"/>
        </w:rPr>
        <w:t>减少教育资源浪费，优化教育投入结构</w:t>
      </w:r>
      <w:bookmarkEnd w:id="50"/>
      <w:bookmarkEnd w:id="51"/>
    </w:p>
    <w:p w14:paraId="6DC80FFF">
      <w:pPr>
        <w:bidi w:val="0"/>
        <w:rPr>
          <w:rFonts w:hint="default" w:ascii="Times New Roman" w:hAnsi="Times New Roman"/>
          <w:lang w:val="en-US" w:eastAsia="zh-CN"/>
        </w:rPr>
      </w:pPr>
      <w:r>
        <w:rPr>
          <w:rFonts w:hint="default" w:ascii="Times New Roman" w:hAnsi="Times New Roman"/>
          <w:lang w:val="en-US" w:eastAsia="zh-CN"/>
        </w:rPr>
        <w:t>以往教育信息化建设中，部分学校存在“重采购、轻应用”现象，设备采购后因缺乏配套系统或教师能力不足而闲置，导致教育投入浪费。本项目通过“1+1+1+N”生态构建，将硬件、网络、管理中心与应用系统深度融合，确保每一项投入都能服务于教学、管理或决策需求。这种“按需建设、深度应用”的模式，可优化宁南县教育信息化投入结构，让有限的教育经费向“提质量、促公平”的核心目标倾斜，提升教育投入的经济回报率。</w:t>
      </w:r>
    </w:p>
    <w:p w14:paraId="694A16B1">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sz w:val="32"/>
          <w:szCs w:val="32"/>
          <w:lang w:val="en-US"/>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val="en-US"/>
        </w:rPr>
        <w:t>社会效益分析</w:t>
      </w:r>
      <w:bookmarkEnd w:id="43"/>
      <w:bookmarkEnd w:id="44"/>
      <w:bookmarkEnd w:id="45"/>
      <w:bookmarkEnd w:id="46"/>
      <w:bookmarkEnd w:id="47"/>
    </w:p>
    <w:p w14:paraId="3B05EEA3">
      <w:pPr>
        <w:bidi w:val="0"/>
        <w:rPr>
          <w:rFonts w:hint="default" w:ascii="Times New Roman" w:hAnsi="Times New Roman" w:eastAsia="仿宋" w:cs="Times New Roman"/>
          <w:color w:val="auto"/>
          <w:highlight w:val="none"/>
          <w:lang w:val="en-US" w:eastAsia="zh-CN"/>
        </w:rPr>
      </w:pPr>
      <w:bookmarkStart w:id="52" w:name="_Toc22180"/>
      <w:bookmarkStart w:id="53" w:name="_Toc28213"/>
      <w:bookmarkStart w:id="54" w:name="_Toc19320"/>
      <w:r>
        <w:rPr>
          <w:rFonts w:hint="eastAsia" w:cs="Times New Roman"/>
          <w:color w:val="auto"/>
          <w:highlight w:val="none"/>
          <w:lang w:val="en-US" w:eastAsia="zh-CN"/>
        </w:rPr>
        <w:t>1、</w:t>
      </w:r>
      <w:r>
        <w:rPr>
          <w:rFonts w:hint="default" w:ascii="Times New Roman" w:hAnsi="Times New Roman" w:eastAsia="仿宋" w:cs="Times New Roman"/>
          <w:color w:val="auto"/>
          <w:highlight w:val="none"/>
          <w:lang w:val="en-US" w:eastAsia="zh-CN"/>
        </w:rPr>
        <w:t>促进教育公平，缩小区域与校际差距</w:t>
      </w:r>
      <w:bookmarkEnd w:id="52"/>
      <w:bookmarkEnd w:id="53"/>
    </w:p>
    <w:p w14:paraId="4D1FB661">
      <w:pPr>
        <w:bidi w:val="0"/>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宁南县15所学校存在城乡分布、师资水平、资源配置不均衡的问题，项目通过“1云+1网”打破地理空间限制，让15所学校共享统一的教育资源池：农村学校可通过教育城域网接入智慧教育大平台，获取城区优质学校的同步课堂、名师录播课、数字化教学资源，实现“城乡同上一节课”；公共支撑与决策系统可通过数据监测，动态调配师资培训资源、教学设备资源，从“资源供给端”缩小校际差距，让每一名学生都能享受优质、均等的教育机会，体现教育的公平性与普惠性。</w:t>
      </w:r>
    </w:p>
    <w:p w14:paraId="69B9A7E3">
      <w:pPr>
        <w:bidi w:val="0"/>
        <w:rPr>
          <w:rFonts w:hint="default" w:ascii="Times New Roman" w:hAnsi="Times New Roman" w:eastAsia="仿宋" w:cs="Times New Roman"/>
          <w:color w:val="auto"/>
          <w:highlight w:val="none"/>
          <w:lang w:val="en-US" w:eastAsia="zh-CN"/>
        </w:rPr>
      </w:pPr>
      <w:bookmarkStart w:id="55" w:name="_Toc4423"/>
      <w:bookmarkStart w:id="56" w:name="_Toc19750"/>
      <w:r>
        <w:rPr>
          <w:rFonts w:hint="eastAsia" w:cs="Times New Roman"/>
          <w:color w:val="auto"/>
          <w:highlight w:val="none"/>
          <w:lang w:val="en-US" w:eastAsia="zh-CN"/>
        </w:rPr>
        <w:t>2、</w:t>
      </w:r>
      <w:r>
        <w:rPr>
          <w:rFonts w:hint="default" w:ascii="Times New Roman" w:hAnsi="Times New Roman" w:eastAsia="仿宋" w:cs="Times New Roman"/>
          <w:color w:val="auto"/>
          <w:highlight w:val="none"/>
          <w:lang w:val="en-US" w:eastAsia="zh-CN"/>
        </w:rPr>
        <w:t>提升教学质量，推动教育教学模式创新</w:t>
      </w:r>
      <w:bookmarkEnd w:id="55"/>
      <w:bookmarkEnd w:id="56"/>
    </w:p>
    <w:p w14:paraId="0DF75A62">
      <w:pPr>
        <w:bidi w:val="0"/>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教学与成长管理系统、AI教育应用系统等，为教师提供多样化教学工具，可帮助教师快速生成个性化教案，互动教学平台可实现课堂实时答题、小组协作，数字化学习系统可提供课后个性化练习。这些工具将推动教师从“传统讲授式”教学向“互动式、个性化、探究式”教学转变，提升学生课堂参与度与学习兴趣，进而提高教学效率与质量。</w:t>
      </w:r>
    </w:p>
    <w:p w14:paraId="7AE23845">
      <w:pPr>
        <w:bidi w:val="0"/>
        <w:rPr>
          <w:rFonts w:hint="default" w:ascii="Times New Roman" w:hAnsi="Times New Roman" w:eastAsia="仿宋" w:cs="Times New Roman"/>
          <w:color w:val="auto"/>
          <w:highlight w:val="none"/>
          <w:lang w:val="en-US" w:eastAsia="zh-CN"/>
        </w:rPr>
      </w:pPr>
      <w:bookmarkStart w:id="57" w:name="_Toc23497"/>
      <w:bookmarkStart w:id="58" w:name="_Toc14709"/>
      <w:r>
        <w:rPr>
          <w:rFonts w:hint="eastAsia" w:cs="Times New Roman"/>
          <w:color w:val="auto"/>
          <w:highlight w:val="none"/>
          <w:lang w:val="en-US" w:eastAsia="zh-CN"/>
        </w:rPr>
        <w:t>3、</w:t>
      </w:r>
      <w:r>
        <w:rPr>
          <w:rFonts w:hint="default" w:ascii="Times New Roman" w:hAnsi="Times New Roman" w:eastAsia="仿宋" w:cs="Times New Roman"/>
          <w:color w:val="auto"/>
          <w:highlight w:val="none"/>
          <w:lang w:val="en-US" w:eastAsia="zh-CN"/>
        </w:rPr>
        <w:t>提升师生数字化素养，适应数字时代发展需求</w:t>
      </w:r>
      <w:bookmarkEnd w:id="57"/>
      <w:bookmarkEnd w:id="58"/>
    </w:p>
    <w:p w14:paraId="1F60622D">
      <w:pPr>
        <w:bidi w:val="0"/>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项目建设过程中，将配套开展教师数字化教学能力培训，帮助教师掌握智慧教育环境下的教学方法。同时，教师通过使用平台中的教学资源与工具，可不断积累数字化教学经验，提升自身专业能力，适应教育数字化转型趋势，为宁南县培养一支具备现代教育理念与技术能力的教师队伍。另一方面，学生在使用数字化学习系统、AI教育应用系统的过程中，将逐步掌握信息检索、数据处理、在线协作等数字技能。这些技能不仅能提升学生的学习能力，还能帮助他们树立正确的数字伦理观，为未来成为适应数字社会的合格公民奠定基础。</w:t>
      </w:r>
    </w:p>
    <w:p w14:paraId="75DE9446">
      <w:pPr>
        <w:bidi w:val="0"/>
        <w:rPr>
          <w:rFonts w:hint="default" w:ascii="Times New Roman" w:hAnsi="Times New Roman" w:eastAsia="仿宋" w:cs="Times New Roman"/>
          <w:color w:val="auto"/>
          <w:highlight w:val="none"/>
          <w:lang w:val="en-US" w:eastAsia="zh-CN"/>
        </w:rPr>
      </w:pPr>
      <w:bookmarkStart w:id="59" w:name="_Toc24209"/>
      <w:bookmarkStart w:id="60" w:name="_Toc30319"/>
      <w:r>
        <w:rPr>
          <w:rFonts w:hint="eastAsia" w:cs="Times New Roman"/>
          <w:color w:val="auto"/>
          <w:highlight w:val="none"/>
          <w:lang w:val="en-US" w:eastAsia="zh-CN"/>
        </w:rPr>
        <w:t>4、</w:t>
      </w:r>
      <w:r>
        <w:rPr>
          <w:rFonts w:hint="default" w:ascii="Times New Roman" w:hAnsi="Times New Roman" w:eastAsia="仿宋" w:cs="Times New Roman"/>
          <w:color w:val="auto"/>
          <w:highlight w:val="none"/>
          <w:lang w:val="en-US" w:eastAsia="zh-CN"/>
        </w:rPr>
        <w:t>增强社会对教育的认同感，促进社会和谐发展</w:t>
      </w:r>
      <w:bookmarkEnd w:id="59"/>
      <w:bookmarkEnd w:id="60"/>
    </w:p>
    <w:p w14:paraId="66B12AF7">
      <w:pPr>
        <w:bidi w:val="0"/>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教学与成长管理系统可实现家校实时沟通，让家长更深入地参与孩子的教育过程，形成“学校-家庭”协同育人合力。这种透明化、常态化的家校沟通，可减少家校之间的信息不对称，提升家长对学校教育的理解与信任。宁南县通过建设智慧教育大平台，构建“1+1+1+N”智慧教育生态，将成为区域内教育信息化建设的标杆项目。项目建成后，优质的教育质量、公平的教育环境、高效的教育管理将提升宁南县教育的整体口碑，吸引周边区域家庭选择宁南县就读，同时也为宁南县打造“智慧教育示范区”奠定基础，增强区域社会凝聚力与美誉度，促进社会和谐稳定发展。</w:t>
      </w:r>
    </w:p>
    <w:p w14:paraId="1721FE38">
      <w:pPr>
        <w:numPr>
          <w:ilvl w:val="0"/>
          <w:numId w:val="0"/>
        </w:numPr>
        <w:spacing w:beforeLines="50" w:afterLines="50" w:line="360" w:lineRule="auto"/>
        <w:jc w:val="both"/>
        <w:outlineLvl w:val="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三、项目投资估算与资金筹措方案</w:t>
      </w:r>
      <w:bookmarkEnd w:id="54"/>
    </w:p>
    <w:p w14:paraId="4220F1DD">
      <w:pPr>
        <w:spacing w:beforeLines="50" w:afterLines="50" w:line="360" w:lineRule="auto"/>
        <w:outlineLvl w:val="9"/>
        <w:rPr>
          <w:rFonts w:ascii="仿宋" w:hAnsi="仿宋" w:eastAsia="仿宋"/>
          <w:b/>
          <w:bCs/>
          <w:sz w:val="32"/>
          <w:szCs w:val="32"/>
        </w:rPr>
      </w:pPr>
      <w:bookmarkStart w:id="61" w:name="_Toc5108"/>
      <w:bookmarkStart w:id="62" w:name="_Toc1720145"/>
      <w:bookmarkStart w:id="63" w:name="_Toc523157062"/>
      <w:bookmarkStart w:id="64" w:name="_Toc523481542"/>
      <w:bookmarkStart w:id="65" w:name="_Toc533440335"/>
      <w:bookmarkStart w:id="66" w:name="_Toc522211078"/>
      <w:r>
        <w:rPr>
          <w:rFonts w:hint="eastAsia" w:ascii="仿宋" w:hAnsi="仿宋" w:eastAsia="仿宋"/>
          <w:b/>
          <w:bCs/>
          <w:sz w:val="32"/>
          <w:szCs w:val="32"/>
        </w:rPr>
        <w:t>（一）投资估算</w:t>
      </w:r>
      <w:bookmarkEnd w:id="61"/>
      <w:bookmarkEnd w:id="62"/>
      <w:bookmarkEnd w:id="63"/>
      <w:bookmarkEnd w:id="64"/>
      <w:bookmarkEnd w:id="65"/>
      <w:bookmarkEnd w:id="66"/>
    </w:p>
    <w:p w14:paraId="6DC365EC">
      <w:pPr>
        <w:bidi w:val="0"/>
        <w:rPr>
          <w:rFonts w:hint="eastAsia" w:ascii="Times New Roman" w:hAnsi="Times New Roman"/>
          <w:lang w:val="en-US" w:eastAsia="zh-CN"/>
        </w:rPr>
      </w:pPr>
      <w:bookmarkStart w:id="67" w:name="_Toc23109"/>
      <w:r>
        <w:rPr>
          <w:rFonts w:hint="eastAsia" w:ascii="Times New Roman" w:hAnsi="Times New Roman"/>
          <w:lang w:val="en-US" w:eastAsia="zh-CN"/>
        </w:rPr>
        <w:t>本项目投资总额为6718.00万元，其中</w:t>
      </w:r>
      <w:r>
        <w:rPr>
          <w:rFonts w:hint="eastAsia"/>
          <w:lang w:val="en-US" w:eastAsia="zh-CN"/>
        </w:rPr>
        <w:t>：</w:t>
      </w:r>
    </w:p>
    <w:p w14:paraId="2DDD6911">
      <w:pPr>
        <w:bidi w:val="0"/>
        <w:rPr>
          <w:rFonts w:hint="eastAsia" w:ascii="Times New Roman" w:hAnsi="Times New Roman"/>
          <w:lang w:val="en-US" w:eastAsia="zh-CN"/>
        </w:rPr>
      </w:pPr>
      <w:r>
        <w:rPr>
          <w:rFonts w:hint="eastAsia" w:ascii="Times New Roman" w:hAnsi="Times New Roman"/>
          <w:lang w:val="en-US" w:eastAsia="zh-CN"/>
        </w:rPr>
        <w:t>工程费用5709.10万元，占项目总投资的84.98%；</w:t>
      </w:r>
    </w:p>
    <w:p w14:paraId="603196C1">
      <w:pPr>
        <w:bidi w:val="0"/>
        <w:rPr>
          <w:rFonts w:hint="eastAsia" w:ascii="Times New Roman" w:hAnsi="Times New Roman"/>
          <w:lang w:val="en-US" w:eastAsia="zh-CN"/>
        </w:rPr>
      </w:pPr>
      <w:r>
        <w:rPr>
          <w:rFonts w:hint="eastAsia" w:ascii="Times New Roman" w:hAnsi="Times New Roman"/>
          <w:lang w:val="en-US" w:eastAsia="zh-CN"/>
        </w:rPr>
        <w:t>工程建设其他费用510.81万元，占项目总投资的7.60%；</w:t>
      </w:r>
    </w:p>
    <w:p w14:paraId="11A268F2">
      <w:pPr>
        <w:bidi w:val="0"/>
        <w:rPr>
          <w:rFonts w:hint="eastAsia" w:ascii="Times New Roman" w:hAnsi="Times New Roman"/>
          <w:lang w:val="en-US" w:eastAsia="zh-CN"/>
        </w:rPr>
      </w:pPr>
      <w:r>
        <w:rPr>
          <w:rFonts w:hint="eastAsia" w:ascii="Times New Roman" w:hAnsi="Times New Roman"/>
          <w:lang w:val="en-US" w:eastAsia="zh-CN"/>
        </w:rPr>
        <w:t>预备费309.59万元，占项目总投资的4.61%；</w:t>
      </w:r>
    </w:p>
    <w:p w14:paraId="2621A174">
      <w:pPr>
        <w:bidi w:val="0"/>
        <w:rPr>
          <w:rFonts w:hint="eastAsia" w:ascii="Times New Roman" w:hAnsi="Times New Roman"/>
          <w:lang w:val="en-US" w:eastAsia="zh-CN"/>
        </w:rPr>
      </w:pPr>
      <w:r>
        <w:rPr>
          <w:rFonts w:hint="eastAsia" w:ascii="Times New Roman" w:hAnsi="Times New Roman"/>
          <w:lang w:val="en-US" w:eastAsia="zh-CN"/>
        </w:rPr>
        <w:t>专项债券建设期利息184.00万元，占项目总投资的2.74%；</w:t>
      </w:r>
    </w:p>
    <w:p w14:paraId="21F44F82">
      <w:pPr>
        <w:bidi w:val="0"/>
        <w:rPr>
          <w:rFonts w:hint="eastAsia" w:ascii="Times New Roman" w:hAnsi="Times New Roman"/>
          <w:lang w:val="en-US" w:eastAsia="zh-CN"/>
        </w:rPr>
      </w:pPr>
      <w:r>
        <w:rPr>
          <w:rFonts w:hint="eastAsia" w:ascii="Times New Roman" w:hAnsi="Times New Roman"/>
          <w:lang w:val="en-US" w:eastAsia="zh-CN"/>
        </w:rPr>
        <w:t>债券发行费用4.50万元，占项目总投资的0.07%。</w:t>
      </w:r>
    </w:p>
    <w:p w14:paraId="7F869E7D">
      <w:pPr>
        <w:spacing w:beforeLines="50" w:afterLines="50" w:line="360" w:lineRule="auto"/>
        <w:outlineLvl w:val="9"/>
        <w:rPr>
          <w:rFonts w:hint="eastAsia" w:ascii="仿宋" w:hAnsi="仿宋" w:eastAsia="仿宋"/>
          <w:b/>
          <w:bCs/>
          <w:sz w:val="32"/>
          <w:szCs w:val="32"/>
        </w:rPr>
      </w:pPr>
      <w:r>
        <w:rPr>
          <w:rFonts w:hint="eastAsia" w:ascii="仿宋" w:hAnsi="仿宋" w:eastAsia="仿宋"/>
          <w:b/>
          <w:bCs/>
          <w:sz w:val="32"/>
          <w:szCs w:val="32"/>
        </w:rPr>
        <w:t>（二）资金筹措方案</w:t>
      </w:r>
      <w:bookmarkEnd w:id="67"/>
    </w:p>
    <w:p w14:paraId="4157F21D">
      <w:pPr>
        <w:bidi w:val="0"/>
        <w:rPr>
          <w:rFonts w:hint="eastAsia"/>
          <w:b/>
          <w:bCs/>
        </w:rPr>
      </w:pPr>
      <w:bookmarkStart w:id="68" w:name="_Toc533440340"/>
      <w:bookmarkStart w:id="69" w:name="_Toc19703"/>
      <w:bookmarkStart w:id="70" w:name="_Toc523481547"/>
      <w:bookmarkStart w:id="71" w:name="_Toc522211083"/>
      <w:bookmarkStart w:id="72" w:name="_Toc523157067"/>
      <w:bookmarkStart w:id="73" w:name="_Toc1720150"/>
      <w:bookmarkStart w:id="74" w:name="_Toc20821"/>
      <w:r>
        <w:rPr>
          <w:rFonts w:hint="eastAsia"/>
          <w:b/>
          <w:bCs/>
        </w:rPr>
        <w:t>1.资金来源</w:t>
      </w:r>
      <w:bookmarkEnd w:id="68"/>
      <w:bookmarkEnd w:id="69"/>
      <w:bookmarkEnd w:id="70"/>
      <w:bookmarkEnd w:id="71"/>
      <w:bookmarkEnd w:id="72"/>
      <w:bookmarkEnd w:id="73"/>
      <w:bookmarkEnd w:id="74"/>
    </w:p>
    <w:p w14:paraId="43BFD8BF">
      <w:pPr>
        <w:bidi w:val="0"/>
        <w:rPr>
          <w:rFonts w:hint="eastAsia"/>
          <w:lang w:val="en-US" w:eastAsia="zh-CN"/>
        </w:rPr>
      </w:pPr>
      <w:r>
        <w:rPr>
          <w:rFonts w:hint="eastAsia"/>
          <w:lang w:val="en-US" w:eastAsia="zh-CN"/>
        </w:rPr>
        <w:t>资本金来源：</w:t>
      </w:r>
      <w:r>
        <w:rPr>
          <w:rFonts w:hint="default" w:ascii="Times New Roman" w:hAnsi="Times New Roman" w:eastAsia="仿宋" w:cs="Times New Roman"/>
          <w:color w:val="auto"/>
          <w:lang w:val="en-US" w:eastAsia="zh-CN"/>
        </w:rPr>
        <w:t>项目资本金</w:t>
      </w:r>
      <w:r>
        <w:rPr>
          <w:rFonts w:hint="default" w:ascii="Times New Roman" w:hAnsi="Times New Roman" w:cs="Times New Roman"/>
          <w:color w:val="auto"/>
          <w:lang w:val="en-US" w:eastAsia="zh-CN"/>
        </w:rPr>
        <w:t>2218.00</w:t>
      </w:r>
      <w:r>
        <w:rPr>
          <w:rFonts w:hint="default" w:ascii="Times New Roman" w:hAnsi="Times New Roman" w:eastAsia="仿宋" w:cs="Times New Roman"/>
          <w:color w:val="auto"/>
          <w:lang w:val="en-US" w:eastAsia="zh-CN"/>
        </w:rPr>
        <w:t>万元（占总投资的</w:t>
      </w:r>
      <w:r>
        <w:rPr>
          <w:rFonts w:hint="default" w:ascii="Times New Roman" w:hAnsi="Times New Roman" w:cs="Times New Roman"/>
          <w:color w:val="auto"/>
          <w:lang w:val="en-US" w:eastAsia="zh-CN"/>
        </w:rPr>
        <w:t>33.02%</w:t>
      </w:r>
      <w:r>
        <w:rPr>
          <w:rFonts w:hint="default" w:ascii="Times New Roman" w:hAnsi="Times New Roman" w:eastAsia="仿宋" w:cs="Times New Roman"/>
          <w:color w:val="auto"/>
          <w:lang w:val="en-US" w:eastAsia="zh-CN"/>
        </w:rPr>
        <w:t>）。本项目资本金全部</w:t>
      </w:r>
      <w:r>
        <w:rPr>
          <w:rFonts w:hint="default" w:ascii="Times New Roman" w:hAnsi="Times New Roman" w:cs="Times New Roman"/>
          <w:color w:val="auto"/>
          <w:lang w:val="en-US" w:eastAsia="zh-CN"/>
        </w:rPr>
        <w:t>来自地方配套资金</w:t>
      </w:r>
      <w:r>
        <w:rPr>
          <w:rFonts w:hint="default" w:ascii="Times New Roman" w:hAnsi="Times New Roman" w:eastAsia="仿宋" w:cs="Times New Roman"/>
          <w:color w:val="auto"/>
          <w:lang w:val="en-US" w:eastAsia="zh-CN"/>
        </w:rPr>
        <w:t>，将按照项目进度及时到位。</w:t>
      </w:r>
    </w:p>
    <w:p w14:paraId="789EDAB1">
      <w:pPr>
        <w:bidi w:val="0"/>
        <w:rPr>
          <w:rFonts w:hint="eastAsia"/>
          <w:lang w:val="en-US" w:eastAsia="zh-CN"/>
        </w:rPr>
      </w:pPr>
      <w:r>
        <w:rPr>
          <w:rFonts w:hint="eastAsia"/>
          <w:lang w:val="en-US" w:eastAsia="zh-CN"/>
        </w:rPr>
        <w:t>融资来源：本项目拟发行政府专项债券总额为4500.00万元（占总投资的66.98%）。其中：第1年拟申请发行专项债券额度为3500.00万元，第2年拟申请发行专项债券额度为1000.00万元。发行债券期限为20年，债券利率按2.30%测算，发行费为面值的1%。</w:t>
      </w:r>
    </w:p>
    <w:p w14:paraId="6432DD6C">
      <w:pPr>
        <w:numPr>
          <w:ilvl w:val="0"/>
          <w:numId w:val="2"/>
        </w:numPr>
        <w:spacing w:before="240" w:after="120"/>
        <w:ind w:leftChars="0"/>
        <w:outlineLvl w:val="9"/>
        <w:rPr>
          <w:rFonts w:hint="eastAsia" w:ascii="仿宋" w:hAnsi="仿宋" w:eastAsia="仿宋" w:cs="Times New Roman"/>
          <w:b/>
          <w:bCs/>
          <w:sz w:val="32"/>
          <w:szCs w:val="32"/>
        </w:rPr>
      </w:pPr>
      <w:bookmarkStart w:id="75" w:name="_Toc1720152"/>
      <w:bookmarkStart w:id="76" w:name="_Toc25776"/>
      <w:bookmarkStart w:id="77" w:name="_Toc523157069"/>
      <w:bookmarkStart w:id="78" w:name="_Toc533440342"/>
      <w:bookmarkStart w:id="79" w:name="_Toc523481549"/>
      <w:r>
        <w:rPr>
          <w:rFonts w:hint="eastAsia" w:ascii="仿宋" w:hAnsi="仿宋" w:eastAsia="仿宋" w:cs="Times New Roman"/>
          <w:b/>
          <w:bCs/>
          <w:sz w:val="32"/>
          <w:szCs w:val="32"/>
        </w:rPr>
        <w:t>资金使用计划</w:t>
      </w:r>
      <w:bookmarkEnd w:id="75"/>
      <w:bookmarkEnd w:id="76"/>
      <w:bookmarkEnd w:id="77"/>
      <w:bookmarkEnd w:id="78"/>
      <w:bookmarkEnd w:id="79"/>
    </w:p>
    <w:p w14:paraId="2B66946E">
      <w:pPr>
        <w:keepNext w:val="0"/>
        <w:keepLines w:val="0"/>
        <w:pageBreakBefore w:val="0"/>
        <w:widowControl w:val="0"/>
        <w:kinsoku/>
        <w:wordWrap/>
        <w:overflowPunct/>
        <w:topLinePunct w:val="0"/>
        <w:autoSpaceDE/>
        <w:autoSpaceDN/>
        <w:bidi w:val="0"/>
        <w:adjustRightInd/>
        <w:snapToGrid/>
        <w:spacing w:before="164" w:beforeLines="50" w:after="164" w:afterLines="50" w:line="360" w:lineRule="auto"/>
        <w:ind w:firstLine="640" w:firstLineChars="200"/>
        <w:textAlignment w:val="auto"/>
        <w:rPr>
          <w:rFonts w:hint="eastAsia" w:ascii="仿宋" w:hAnsi="仿宋" w:eastAsia="仿宋" w:cs="仿宋"/>
          <w:sz w:val="32"/>
          <w:szCs w:val="32"/>
          <w:lang w:val="en-US" w:eastAsia="zh-CN"/>
        </w:rPr>
      </w:pPr>
      <w:r>
        <w:rPr>
          <w:rFonts w:hint="eastAsia"/>
        </w:rPr>
        <w:t>项目所筹资金将根据项目实施计划和实时建设进度来进行合理分配，且将全部投资于</w:t>
      </w:r>
      <w:r>
        <w:rPr>
          <w:rFonts w:hint="eastAsia"/>
          <w:lang w:val="en-US" w:eastAsia="zh-CN"/>
        </w:rPr>
        <w:t>宁南县智慧教育建设项目</w:t>
      </w:r>
      <w:r>
        <w:rPr>
          <w:rFonts w:hint="eastAsia"/>
        </w:rPr>
        <w:t>，具体数额应当根据进度支出。在保证项目工程投资资金充足的情况下，充分利用且不浪费当年度专项债券融资额度。按照建设进度，总投资计划</w:t>
      </w:r>
      <w:r>
        <w:rPr>
          <w:rFonts w:hint="eastAsia"/>
          <w:lang w:val="en-US" w:eastAsia="zh-CN"/>
        </w:rPr>
        <w:t>跨2</w:t>
      </w:r>
      <w:r>
        <w:rPr>
          <w:rFonts w:hint="eastAsia"/>
        </w:rPr>
        <w:t>个</w:t>
      </w:r>
      <w:r>
        <w:rPr>
          <w:rFonts w:hint="eastAsia"/>
          <w:lang w:val="en-US" w:eastAsia="zh-CN"/>
        </w:rPr>
        <w:t>自然</w:t>
      </w:r>
      <w:r>
        <w:rPr>
          <w:rFonts w:hint="eastAsia"/>
        </w:rPr>
        <w:t>年度投入</w:t>
      </w:r>
      <w:r>
        <w:rPr>
          <w:rFonts w:hint="eastAsia" w:ascii="仿宋" w:hAnsi="仿宋" w:eastAsia="仿宋" w:cs="仿宋"/>
          <w:sz w:val="32"/>
          <w:szCs w:val="32"/>
          <w:lang w:val="en-US" w:eastAsia="zh-CN"/>
        </w:rPr>
        <w:t>。</w:t>
      </w:r>
    </w:p>
    <w:tbl>
      <w:tblPr>
        <w:tblStyle w:val="17"/>
        <w:tblW w:w="75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9"/>
        <w:gridCol w:w="2205"/>
        <w:gridCol w:w="1231"/>
        <w:gridCol w:w="1140"/>
        <w:gridCol w:w="1140"/>
        <w:gridCol w:w="1140"/>
      </w:tblGrid>
      <w:tr w14:paraId="7F29A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E0BD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序号</w:t>
            </w:r>
          </w:p>
        </w:tc>
        <w:tc>
          <w:tcPr>
            <w:tcW w:w="2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9E2B6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项目</w:t>
            </w: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00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合计</w:t>
            </w:r>
          </w:p>
        </w:tc>
        <w:tc>
          <w:tcPr>
            <w:tcW w:w="2280" w:type="dxa"/>
            <w:gridSpan w:val="2"/>
            <w:tcBorders>
              <w:top w:val="single" w:color="000000" w:sz="4" w:space="0"/>
              <w:left w:val="single" w:color="000000" w:sz="4" w:space="0"/>
              <w:bottom w:val="single" w:color="000000" w:sz="4" w:space="0"/>
              <w:right w:val="nil"/>
            </w:tcBorders>
            <w:shd w:val="clear" w:color="auto" w:fill="auto"/>
            <w:vAlign w:val="center"/>
          </w:tcPr>
          <w:p w14:paraId="0E9CE4F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建设期</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E1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投资占比</w:t>
            </w:r>
          </w:p>
        </w:tc>
      </w:tr>
      <w:tr w14:paraId="45740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18C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 w:cs="Times New Roman"/>
                <w:b/>
                <w:bCs/>
                <w:i w:val="0"/>
                <w:iCs w:val="0"/>
                <w:color w:val="000000"/>
                <w:sz w:val="22"/>
                <w:szCs w:val="22"/>
                <w:u w:val="none"/>
              </w:rPr>
            </w:pPr>
          </w:p>
        </w:tc>
        <w:tc>
          <w:tcPr>
            <w:tcW w:w="2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EE9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 w:cs="Times New Roman"/>
                <w:b/>
                <w:bCs/>
                <w:i w:val="0"/>
                <w:iCs w:val="0"/>
                <w:color w:val="000000"/>
                <w:sz w:val="22"/>
                <w:szCs w:val="22"/>
                <w:u w:val="none"/>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3A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 w:cs="Times New Roman"/>
                <w:b/>
                <w:bCs/>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E1E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第1年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8C6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第2年</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78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 w:cs="Times New Roman"/>
                <w:b/>
                <w:bCs/>
                <w:i w:val="0"/>
                <w:iCs w:val="0"/>
                <w:color w:val="000000"/>
                <w:sz w:val="22"/>
                <w:szCs w:val="22"/>
                <w:u w:val="none"/>
              </w:rPr>
            </w:pPr>
          </w:p>
        </w:tc>
      </w:tr>
      <w:tr w14:paraId="7B88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3264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一</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728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资金使用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A9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6718.00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31A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3900.00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61E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2818.00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83E3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14:paraId="2EC31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50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3E3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静态建设总投资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B7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2F3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6E0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2713.50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5C12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97.19%</w:t>
            </w:r>
          </w:p>
        </w:tc>
      </w:tr>
      <w:tr w14:paraId="26A51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1E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2E3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建设期债券利息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1E8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3A40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C5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08C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2.74%</w:t>
            </w:r>
          </w:p>
        </w:tc>
      </w:tr>
      <w:tr w14:paraId="737B2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875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A8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债券发行费用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BC3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7EB0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6FB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A9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0.07%</w:t>
            </w:r>
          </w:p>
        </w:tc>
      </w:tr>
      <w:tr w14:paraId="3FCDC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817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二</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24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资金筹措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87B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6718.00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AA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3900.00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E4F9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2818.00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2F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14:paraId="5DE9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66F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B6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项目资本金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DBC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845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13E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55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33.02%</w:t>
            </w:r>
          </w:p>
        </w:tc>
      </w:tr>
      <w:tr w14:paraId="3C5E6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9FA6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B14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发行债券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DE8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CCA2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89D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5CB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66.98%</w:t>
            </w:r>
          </w:p>
        </w:tc>
      </w:tr>
    </w:tbl>
    <w:p w14:paraId="39E93E9E">
      <w:pPr>
        <w:keepNext w:val="0"/>
        <w:keepLines w:val="0"/>
        <w:pageBreakBefore w:val="0"/>
        <w:widowControl w:val="0"/>
        <w:kinsoku/>
        <w:wordWrap/>
        <w:overflowPunct/>
        <w:topLinePunct w:val="0"/>
        <w:autoSpaceDE/>
        <w:autoSpaceDN/>
        <w:bidi w:val="0"/>
        <w:adjustRightInd/>
        <w:snapToGrid/>
        <w:spacing w:before="164" w:beforeLines="50" w:after="164" w:afterLines="50" w:line="360" w:lineRule="auto"/>
        <w:ind w:firstLine="640" w:firstLineChars="200"/>
        <w:textAlignment w:val="auto"/>
        <w:rPr>
          <w:rFonts w:hint="eastAsia" w:ascii="仿宋" w:hAnsi="仿宋" w:eastAsia="仿宋" w:cs="仿宋"/>
          <w:sz w:val="32"/>
          <w:szCs w:val="32"/>
          <w:lang w:val="en-US" w:eastAsia="zh-CN"/>
        </w:rPr>
      </w:pPr>
    </w:p>
    <w:p w14:paraId="4AA4D4DB">
      <w:pPr>
        <w:spacing w:beforeLines="50" w:afterLines="50" w:line="360" w:lineRule="auto"/>
        <w:jc w:val="both"/>
        <w:outlineLvl w:val="0"/>
        <w:rPr>
          <w:rFonts w:ascii="仿宋" w:hAnsi="仿宋" w:eastAsia="仿宋"/>
          <w:b/>
          <w:bCs/>
          <w:sz w:val="32"/>
          <w:szCs w:val="32"/>
        </w:rPr>
      </w:pPr>
      <w:bookmarkStart w:id="80" w:name="_Toc9196"/>
      <w:r>
        <w:rPr>
          <w:rFonts w:hint="eastAsia" w:ascii="仿宋" w:hAnsi="仿宋" w:eastAsia="仿宋"/>
          <w:b/>
          <w:bCs/>
          <w:sz w:val="32"/>
          <w:szCs w:val="32"/>
        </w:rPr>
        <w:t>四、项目预期收益、成本及融资平衡情况</w:t>
      </w:r>
      <w:bookmarkEnd w:id="80"/>
    </w:p>
    <w:p w14:paraId="49A49BCB">
      <w:pPr>
        <w:spacing w:beforeLines="50" w:afterLines="50" w:line="360" w:lineRule="auto"/>
        <w:outlineLvl w:val="9"/>
        <w:rPr>
          <w:rFonts w:ascii="仿宋" w:hAnsi="仿宋" w:eastAsia="仿宋"/>
          <w:b/>
          <w:bCs/>
          <w:sz w:val="32"/>
          <w:szCs w:val="32"/>
        </w:rPr>
      </w:pPr>
      <w:bookmarkStart w:id="81" w:name="_Toc523157072"/>
      <w:bookmarkStart w:id="82" w:name="_Toc533440345"/>
      <w:bookmarkStart w:id="83" w:name="_Toc522211088"/>
      <w:bookmarkStart w:id="84" w:name="_Toc523481552"/>
      <w:bookmarkStart w:id="85" w:name="_Toc27170"/>
      <w:bookmarkStart w:id="86" w:name="_Toc1720155"/>
      <w:r>
        <w:rPr>
          <w:rFonts w:hint="eastAsia" w:ascii="仿宋" w:hAnsi="仿宋" w:eastAsia="仿宋"/>
          <w:b/>
          <w:bCs/>
          <w:sz w:val="32"/>
          <w:szCs w:val="32"/>
          <w:lang w:eastAsia="zh-CN"/>
        </w:rPr>
        <w:t>（</w:t>
      </w:r>
      <w:r>
        <w:rPr>
          <w:rFonts w:hint="eastAsia" w:ascii="仿宋" w:hAnsi="仿宋" w:eastAsia="仿宋"/>
          <w:b/>
          <w:bCs/>
          <w:sz w:val="32"/>
          <w:szCs w:val="32"/>
          <w:lang w:val="en-US" w:eastAsia="zh-CN"/>
        </w:rPr>
        <w:t>一</w:t>
      </w:r>
      <w:r>
        <w:rPr>
          <w:rFonts w:hint="eastAsia" w:ascii="仿宋" w:hAnsi="仿宋" w:eastAsia="仿宋"/>
          <w:b/>
          <w:bCs/>
          <w:sz w:val="32"/>
          <w:szCs w:val="32"/>
          <w:lang w:eastAsia="zh-CN"/>
        </w:rPr>
        <w:t>）</w:t>
      </w:r>
      <w:r>
        <w:rPr>
          <w:rFonts w:hint="eastAsia" w:ascii="仿宋" w:hAnsi="仿宋" w:eastAsia="仿宋"/>
          <w:b/>
          <w:bCs/>
          <w:sz w:val="32"/>
          <w:szCs w:val="32"/>
        </w:rPr>
        <w:t>预期收益</w:t>
      </w:r>
      <w:bookmarkEnd w:id="81"/>
      <w:bookmarkEnd w:id="82"/>
      <w:bookmarkEnd w:id="83"/>
      <w:bookmarkEnd w:id="84"/>
      <w:bookmarkEnd w:id="85"/>
      <w:bookmarkEnd w:id="86"/>
    </w:p>
    <w:p w14:paraId="403A0077">
      <w:pPr>
        <w:spacing w:beforeLines="50" w:afterLines="50" w:line="360" w:lineRule="auto"/>
        <w:ind w:firstLine="643" w:firstLineChars="200"/>
        <w:outlineLvl w:val="9"/>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1.项目收入预测</w:t>
      </w:r>
    </w:p>
    <w:p w14:paraId="22B7CF30">
      <w:pPr>
        <w:spacing w:beforeLines="50" w:afterLines="50" w:line="360" w:lineRule="auto"/>
        <w:ind w:firstLine="643" w:firstLineChars="200"/>
        <w:jc w:val="both"/>
        <w:outlineLvl w:val="9"/>
        <w:rPr>
          <w:rFonts w:hint="eastAsia" w:ascii="仿宋" w:hAnsi="仿宋" w:eastAsia="仿宋" w:cs="仿宋"/>
          <w:b/>
          <w:bCs/>
          <w:caps w:val="0"/>
          <w:kern w:val="0"/>
          <w:sz w:val="32"/>
          <w:szCs w:val="32"/>
          <w:lang w:val="en-US" w:eastAsia="zh-CN" w:bidi="ar-SA"/>
        </w:rPr>
      </w:pPr>
      <w:r>
        <w:rPr>
          <w:rFonts w:hint="eastAsia" w:ascii="仿宋" w:hAnsi="仿宋" w:eastAsia="仿宋" w:cs="仿宋"/>
          <w:b/>
          <w:bCs/>
          <w:caps w:val="0"/>
          <w:kern w:val="0"/>
          <w:sz w:val="32"/>
          <w:szCs w:val="32"/>
          <w:lang w:val="en-US" w:eastAsia="zh-CN" w:bidi="ar-SA"/>
        </w:rPr>
        <w:t>（1）项目收入可行性</w:t>
      </w:r>
    </w:p>
    <w:p w14:paraId="6CAE70B8">
      <w:pPr>
        <w:keepNext w:val="0"/>
        <w:keepLines w:val="0"/>
        <w:pageBreakBefore w:val="0"/>
        <w:widowControl w:val="0"/>
        <w:kinsoku/>
        <w:wordWrap/>
        <w:overflowPunct/>
        <w:topLinePunct w:val="0"/>
        <w:autoSpaceDE/>
        <w:autoSpaceDN/>
        <w:bidi w:val="0"/>
        <w:adjustRightInd/>
        <w:snapToGrid/>
        <w:spacing w:before="164" w:beforeLines="50" w:after="164" w:afterLines="50" w:line="360" w:lineRule="auto"/>
        <w:ind w:firstLine="640" w:firstLineChars="200"/>
        <w:textAlignment w:val="auto"/>
        <w:rPr>
          <w:rFonts w:hint="eastAsia" w:ascii="Times New Roman" w:hAnsi="Times New Roman"/>
          <w:lang w:val="zh-CN" w:eastAsia="zh-CN"/>
        </w:rPr>
      </w:pPr>
      <w:r>
        <w:rPr>
          <w:rFonts w:hint="eastAsia" w:ascii="Times New Roman" w:hAnsi="Times New Roman"/>
          <w:lang w:val="zh-CN" w:eastAsia="zh-CN"/>
        </w:rPr>
        <w:t>根据财政部《关于试点发展项目收益与融资自求平衡的地方政府专项债券品种的通知》（财预〔2017〕89号），专项债券对应的项目取得的政府性基金或专项收入，应当按照该项目对应的专项债券余额统筹安排资金，专门用于偿还到期债券本息。</w:t>
      </w:r>
    </w:p>
    <w:p w14:paraId="06DD7444">
      <w:pPr>
        <w:keepNext w:val="0"/>
        <w:keepLines w:val="0"/>
        <w:pageBreakBefore w:val="0"/>
        <w:widowControl w:val="0"/>
        <w:kinsoku/>
        <w:wordWrap/>
        <w:overflowPunct/>
        <w:topLinePunct w:val="0"/>
        <w:autoSpaceDE/>
        <w:autoSpaceDN/>
        <w:bidi w:val="0"/>
        <w:adjustRightInd/>
        <w:snapToGrid/>
        <w:spacing w:before="164" w:beforeLines="50" w:after="164" w:afterLines="50" w:line="360" w:lineRule="auto"/>
        <w:ind w:firstLine="640" w:firstLineChars="200"/>
        <w:textAlignment w:val="auto"/>
        <w:rPr>
          <w:rFonts w:hint="eastAsia"/>
          <w:lang w:val="zh-CN" w:eastAsia="zh-CN"/>
        </w:rPr>
      </w:pPr>
      <w:r>
        <w:rPr>
          <w:rFonts w:hint="eastAsia"/>
          <w:lang w:val="zh-CN" w:eastAsia="zh-CN"/>
        </w:rPr>
        <w:t>项目建成后，可以为15所学校及学生提供教育资源与服务，将极大地改变教学模式，提升宁南县教育信息化的水平和服务能力，实现教学信息资源共享及信息互动。其中数字化学习系统、AI教育应用系统可为学生提供智能助教+伴学、知识库、精品题库等辅助学习模块，向学生提供高质量专题教育资源和覆盖各年级各学科的学习资源，推动教育资源均衡发展，促进教育公平。学生及家长可根据个人意愿付费使用。</w:t>
      </w:r>
    </w:p>
    <w:p w14:paraId="1F8D5143">
      <w:pPr>
        <w:keepNext w:val="0"/>
        <w:keepLines w:val="0"/>
        <w:pageBreakBefore w:val="0"/>
        <w:widowControl w:val="0"/>
        <w:kinsoku/>
        <w:wordWrap/>
        <w:overflowPunct/>
        <w:topLinePunct w:val="0"/>
        <w:autoSpaceDE/>
        <w:autoSpaceDN/>
        <w:bidi w:val="0"/>
        <w:adjustRightInd/>
        <w:snapToGrid/>
        <w:spacing w:before="164" w:beforeLines="50" w:after="164" w:afterLines="50" w:line="360" w:lineRule="auto"/>
        <w:ind w:firstLine="640" w:firstLineChars="200"/>
        <w:textAlignment w:val="auto"/>
        <w:rPr>
          <w:rFonts w:hint="eastAsia"/>
          <w:lang w:val="zh-CN" w:eastAsia="zh-CN"/>
        </w:rPr>
      </w:pPr>
      <w:r>
        <w:rPr>
          <w:rFonts w:hint="eastAsia"/>
          <w:lang w:val="zh-CN" w:eastAsia="zh-CN"/>
        </w:rPr>
        <w:t>本项目的收费对象为学生，由学生自愿付费使用。在收费环节，严格依据国家相关政策规定以及价格政策要求，充分参照市场化有关收费标准进行严谨测算，本次针对该项目收入的预测工作，无论是数据收集、市场调研还是模型构建，均依据充分，整个测算过程合法合规，具有很强的可行性与可靠性，能够为项目的持续稳定运营与发展提供坚实的经济保障与决策依据。本项目收入为纳入政府性基金预算管理的专项收入。项目竣工验收后产生的收入将按规定及时纳入当地财政国库，由财政集中管理、统一调配，专项用于偿还该项目到期债券本息。</w:t>
      </w:r>
    </w:p>
    <w:p w14:paraId="1BCAD0A3">
      <w:pPr>
        <w:spacing w:beforeLines="50" w:afterLines="50" w:line="360" w:lineRule="auto"/>
        <w:ind w:firstLine="643" w:firstLineChars="200"/>
        <w:jc w:val="both"/>
        <w:outlineLvl w:val="9"/>
        <w:rPr>
          <w:rFonts w:hint="eastAsia" w:ascii="仿宋" w:hAnsi="仿宋" w:eastAsia="仿宋" w:cs="仿宋"/>
          <w:b/>
          <w:bCs/>
          <w:caps w:val="0"/>
          <w:kern w:val="0"/>
          <w:sz w:val="32"/>
          <w:szCs w:val="32"/>
          <w:lang w:val="en-US" w:eastAsia="zh-CN" w:bidi="ar-SA"/>
        </w:rPr>
      </w:pPr>
      <w:bookmarkStart w:id="87" w:name="_Toc18830"/>
      <w:bookmarkStart w:id="88" w:name="_Toc2828"/>
      <w:bookmarkStart w:id="89" w:name="_Toc20147"/>
      <w:bookmarkStart w:id="90" w:name="_Toc2217"/>
      <w:bookmarkStart w:id="91" w:name="_Toc13871"/>
      <w:bookmarkStart w:id="92" w:name="_Toc22948"/>
      <w:bookmarkStart w:id="93" w:name="_Toc31903"/>
      <w:r>
        <w:rPr>
          <w:rFonts w:hint="eastAsia" w:ascii="仿宋" w:hAnsi="仿宋" w:eastAsia="仿宋" w:cs="仿宋"/>
          <w:b/>
          <w:bCs/>
          <w:caps w:val="0"/>
          <w:kern w:val="0"/>
          <w:sz w:val="32"/>
          <w:szCs w:val="32"/>
          <w:lang w:val="en-US" w:eastAsia="zh-CN" w:bidi="ar-SA"/>
        </w:rPr>
        <w:t>（2）项目收入的分类</w:t>
      </w:r>
      <w:bookmarkEnd w:id="87"/>
      <w:bookmarkEnd w:id="88"/>
      <w:bookmarkEnd w:id="89"/>
      <w:bookmarkEnd w:id="90"/>
      <w:bookmarkEnd w:id="91"/>
      <w:bookmarkEnd w:id="92"/>
      <w:bookmarkEnd w:id="93"/>
    </w:p>
    <w:p w14:paraId="71C224D6">
      <w:pPr>
        <w:keepNext w:val="0"/>
        <w:keepLines w:val="0"/>
        <w:pageBreakBefore w:val="0"/>
        <w:widowControl w:val="0"/>
        <w:kinsoku/>
        <w:wordWrap/>
        <w:overflowPunct/>
        <w:topLinePunct w:val="0"/>
        <w:autoSpaceDE/>
        <w:autoSpaceDN/>
        <w:bidi w:val="0"/>
        <w:adjustRightInd/>
        <w:snapToGrid/>
        <w:spacing w:before="164" w:beforeLines="50" w:after="164" w:afterLines="50" w:line="360" w:lineRule="auto"/>
        <w:ind w:firstLine="640" w:firstLineChars="200"/>
        <w:textAlignment w:val="auto"/>
        <w:rPr>
          <w:rFonts w:hint="eastAsia" w:ascii="Times New Roman" w:hAnsi="Times New Roman"/>
          <w:lang w:val="en-US" w:eastAsia="zh-CN"/>
        </w:rPr>
      </w:pPr>
      <w:bookmarkStart w:id="94" w:name="_Toc27800"/>
      <w:bookmarkStart w:id="95" w:name="_Toc13489"/>
      <w:bookmarkStart w:id="96" w:name="_Toc29245"/>
      <w:bookmarkStart w:id="97" w:name="_Toc27697"/>
      <w:bookmarkStart w:id="98" w:name="_Toc19981"/>
      <w:bookmarkStart w:id="99" w:name="_Toc24231"/>
      <w:bookmarkStart w:id="100" w:name="_Toc1697"/>
      <w:bookmarkStart w:id="101" w:name="_Toc24753"/>
      <w:r>
        <w:rPr>
          <w:rFonts w:hint="eastAsia" w:ascii="Times New Roman" w:hAnsi="Times New Roman"/>
          <w:lang w:val="en-US" w:eastAsia="zh-CN"/>
        </w:rPr>
        <w:t>本项目全部为项目本身产生的专项收入，包括智能助教+伴学系统使用费收入、精品题库使用费收入、知识库使用费收入等，用于偿还专项债券的专项收入纳入政府性基金预算管理。</w:t>
      </w:r>
    </w:p>
    <w:p w14:paraId="00413B26">
      <w:pPr>
        <w:spacing w:beforeLines="50" w:afterLines="50" w:line="360" w:lineRule="auto"/>
        <w:ind w:firstLine="643" w:firstLineChars="200"/>
        <w:jc w:val="both"/>
        <w:outlineLvl w:val="9"/>
        <w:rPr>
          <w:rFonts w:hint="eastAsia" w:ascii="仿宋" w:hAnsi="仿宋" w:eastAsia="仿宋" w:cs="仿宋"/>
          <w:b/>
          <w:bCs/>
          <w:caps w:val="0"/>
          <w:kern w:val="0"/>
          <w:sz w:val="32"/>
          <w:szCs w:val="32"/>
          <w:lang w:val="en-US" w:eastAsia="zh-CN" w:bidi="ar-SA"/>
        </w:rPr>
      </w:pPr>
      <w:r>
        <w:rPr>
          <w:rFonts w:hint="eastAsia" w:ascii="仿宋" w:hAnsi="仿宋" w:cs="仿宋"/>
          <w:b/>
          <w:bCs/>
          <w:caps w:val="0"/>
          <w:kern w:val="0"/>
          <w:sz w:val="32"/>
          <w:szCs w:val="32"/>
          <w:lang w:val="en-US" w:eastAsia="zh-CN" w:bidi="ar-SA"/>
        </w:rPr>
        <w:t>（3）</w:t>
      </w:r>
      <w:r>
        <w:rPr>
          <w:rFonts w:hint="eastAsia" w:ascii="仿宋" w:hAnsi="仿宋" w:eastAsia="仿宋" w:cs="仿宋"/>
          <w:b/>
          <w:bCs/>
          <w:caps w:val="0"/>
          <w:kern w:val="0"/>
          <w:sz w:val="32"/>
          <w:szCs w:val="32"/>
          <w:lang w:val="en-US" w:eastAsia="zh-CN" w:bidi="ar-SA"/>
        </w:rPr>
        <w:t>项目收入预测</w:t>
      </w:r>
      <w:bookmarkEnd w:id="94"/>
      <w:bookmarkEnd w:id="95"/>
      <w:bookmarkEnd w:id="96"/>
      <w:bookmarkEnd w:id="97"/>
      <w:bookmarkEnd w:id="98"/>
      <w:bookmarkEnd w:id="99"/>
      <w:bookmarkEnd w:id="100"/>
      <w:bookmarkEnd w:id="101"/>
    </w:p>
    <w:p w14:paraId="59F2A2D0">
      <w:pPr>
        <w:bidi w:val="0"/>
        <w:rPr>
          <w:rFonts w:hint="eastAsia" w:ascii="Times New Roman" w:hAnsi="Times New Roman"/>
          <w:sz w:val="32"/>
          <w:szCs w:val="32"/>
          <w:lang w:val="en-US" w:eastAsia="zh-CN"/>
        </w:rPr>
      </w:pPr>
      <w:r>
        <w:rPr>
          <w:rFonts w:hint="default" w:ascii="Times New Roman" w:hAnsi="Times New Roman" w:cs="Times New Roman"/>
          <w:sz w:val="32"/>
          <w:szCs w:val="32"/>
          <w:lang w:val="en-US" w:eastAsia="zh-CN"/>
        </w:rPr>
        <w:t>本项目收益来源主要为智能助教+伴学系统使用费收入、精品题库使用费收入、知识库使用费收入，共计13329.53万元。</w:t>
      </w:r>
    </w:p>
    <w:p w14:paraId="2C6C93E0">
      <w:pPr>
        <w:spacing w:beforeLines="50" w:afterLines="50" w:line="360" w:lineRule="auto"/>
        <w:ind w:firstLine="643" w:firstLineChars="200"/>
        <w:outlineLvl w:val="9"/>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2.成本预测</w:t>
      </w:r>
    </w:p>
    <w:p w14:paraId="536C2421">
      <w:pPr>
        <w:bidi w:val="0"/>
        <w:rPr>
          <w:rFonts w:hint="default"/>
          <w:sz w:val="32"/>
          <w:szCs w:val="32"/>
          <w:lang w:val="en-US" w:eastAsia="zh-CN"/>
        </w:rPr>
      </w:pPr>
      <w:bookmarkStart w:id="102" w:name="_Toc373"/>
      <w:r>
        <w:rPr>
          <w:rFonts w:hint="eastAsia"/>
          <w:sz w:val="32"/>
          <w:szCs w:val="32"/>
          <w:lang w:val="en-US" w:eastAsia="zh-CN"/>
        </w:rPr>
        <w:t>本项目成本包括经营成本、折旧摊销费、财务费用、相关税费。</w:t>
      </w:r>
      <w:r>
        <w:rPr>
          <w:rFonts w:hint="default"/>
          <w:sz w:val="32"/>
          <w:szCs w:val="32"/>
          <w:lang w:val="en-US" w:eastAsia="zh-CN"/>
        </w:rPr>
        <w:t>预测项目总成本费用为：</w:t>
      </w:r>
      <w:r>
        <w:rPr>
          <w:rFonts w:hint="default" w:ascii="Times New Roman" w:hAnsi="Times New Roman" w:cs="Times New Roman"/>
          <w:color w:val="auto"/>
          <w:lang w:val="en-US" w:eastAsia="zh-CN"/>
        </w:rPr>
        <w:t>13025.26</w:t>
      </w:r>
      <w:r>
        <w:rPr>
          <w:rFonts w:hint="default"/>
          <w:sz w:val="32"/>
          <w:szCs w:val="32"/>
          <w:lang w:val="en-US" w:eastAsia="zh-CN"/>
        </w:rPr>
        <w:t>万元</w:t>
      </w:r>
      <w:r>
        <w:rPr>
          <w:rFonts w:hint="eastAsia"/>
          <w:sz w:val="32"/>
          <w:szCs w:val="32"/>
          <w:lang w:val="en-US" w:eastAsia="zh-CN"/>
        </w:rPr>
        <w:t>。</w:t>
      </w:r>
    </w:p>
    <w:p w14:paraId="37943A71">
      <w:pPr>
        <w:spacing w:beforeLines="50" w:afterLines="50" w:line="360" w:lineRule="auto"/>
        <w:ind w:firstLine="643" w:firstLineChars="200"/>
        <w:outlineLvl w:val="9"/>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3.项目损益</w:t>
      </w:r>
      <w:bookmarkEnd w:id="102"/>
    </w:p>
    <w:p w14:paraId="4E1AB3AE">
      <w:pPr>
        <w:bidi w:val="0"/>
        <w:rPr>
          <w:rFonts w:hint="eastAsia"/>
          <w:sz w:val="32"/>
          <w:szCs w:val="32"/>
          <w:lang w:val="en-US" w:eastAsia="zh-CN"/>
        </w:rPr>
      </w:pPr>
      <w:r>
        <w:rPr>
          <w:rFonts w:hint="eastAsia"/>
          <w:sz w:val="32"/>
          <w:szCs w:val="32"/>
          <w:lang w:val="en-US" w:eastAsia="zh-CN"/>
        </w:rPr>
        <w:t>根据测算，在计算期内，本项目在债券存续期内运营总收入预计为13329.53万元，总成本预计13025.26万元，累计净利润为26.45万元，本项目息前净现金流量累计7773.69万元，专项债券到期本息合计6570.00万元，本项目收入息前净现金流覆盖全部融资本息倍数为1.18倍。</w:t>
      </w:r>
    </w:p>
    <w:p w14:paraId="5826AE70">
      <w:pPr>
        <w:keepNext w:val="0"/>
        <w:keepLines w:val="0"/>
        <w:pageBreakBefore w:val="0"/>
        <w:widowControl w:val="0"/>
        <w:kinsoku/>
        <w:wordWrap/>
        <w:overflowPunct/>
        <w:topLinePunct w:val="0"/>
        <w:autoSpaceDE/>
        <w:autoSpaceDN/>
        <w:bidi w:val="0"/>
        <w:adjustRightInd/>
        <w:snapToGrid/>
        <w:spacing w:beforeLines="50" w:afterLines="50" w:line="360" w:lineRule="auto"/>
        <w:ind w:firstLine="0" w:firstLineChars="0"/>
        <w:textAlignment w:val="auto"/>
        <w:outlineLvl w:val="9"/>
        <w:rPr>
          <w:rFonts w:hint="eastAsia" w:ascii="仿宋" w:hAnsi="仿宋" w:eastAsia="仿宋" w:cs="Times New Roman"/>
          <w:b/>
          <w:bCs/>
          <w:sz w:val="32"/>
          <w:szCs w:val="32"/>
        </w:rPr>
      </w:pP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lang w:val="en-US" w:eastAsia="zh-CN"/>
        </w:rPr>
        <w:t>二</w:t>
      </w: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rPr>
        <w:t>资金测算平衡情况</w:t>
      </w:r>
    </w:p>
    <w:p w14:paraId="698B2E84">
      <w:pPr>
        <w:spacing w:beforeLines="50" w:afterLines="50" w:line="360" w:lineRule="auto"/>
        <w:ind w:firstLine="643" w:firstLineChars="200"/>
        <w:outlineLvl w:val="9"/>
        <w:rPr>
          <w:rFonts w:hint="eastAsia" w:ascii="仿宋" w:hAnsi="仿宋" w:eastAsia="仿宋"/>
          <w:b/>
          <w:bCs/>
          <w:sz w:val="32"/>
          <w:szCs w:val="32"/>
          <w:lang w:val="en-US" w:eastAsia="zh-CN"/>
        </w:rPr>
      </w:pPr>
      <w:bookmarkStart w:id="103" w:name="_Toc18760766"/>
      <w:bookmarkStart w:id="104" w:name="_Toc20333"/>
      <w:bookmarkStart w:id="105" w:name="_Toc24256"/>
      <w:bookmarkStart w:id="106" w:name="_Toc1381"/>
      <w:r>
        <w:rPr>
          <w:rFonts w:hint="eastAsia" w:ascii="仿宋" w:hAnsi="仿宋" w:eastAsia="仿宋"/>
          <w:b/>
          <w:bCs/>
          <w:sz w:val="32"/>
          <w:szCs w:val="32"/>
          <w:lang w:val="en-US" w:eastAsia="zh-CN"/>
        </w:rPr>
        <w:t>1.项目还本付息计划</w:t>
      </w:r>
      <w:bookmarkEnd w:id="103"/>
      <w:bookmarkEnd w:id="104"/>
      <w:bookmarkEnd w:id="105"/>
      <w:bookmarkEnd w:id="106"/>
    </w:p>
    <w:p w14:paraId="61610CC5">
      <w:pPr>
        <w:bidi w:val="0"/>
        <w:rPr>
          <w:rFonts w:hint="eastAsia"/>
          <w:sz w:val="32"/>
          <w:szCs w:val="32"/>
          <w:lang w:val="en-US" w:eastAsia="zh-CN"/>
        </w:rPr>
      </w:pPr>
      <w:bookmarkStart w:id="107" w:name="_Toc13883"/>
      <w:bookmarkStart w:id="108" w:name="_Toc18760767"/>
      <w:bookmarkStart w:id="109" w:name="_Toc12782"/>
      <w:bookmarkStart w:id="110" w:name="_Toc15443"/>
      <w:r>
        <w:rPr>
          <w:rFonts w:hint="eastAsia"/>
          <w:sz w:val="32"/>
          <w:szCs w:val="32"/>
          <w:lang w:val="en-US" w:eastAsia="zh-CN"/>
        </w:rPr>
        <w:t>本项目发行债券需支付的利息，按照2.30%利率计算。计划发行期限为20年。假设在每年年初发行债券，每半年付息一次，期满一次偿还本金和最后一笔利息。债券存续期内累计需支付利息2070.00万元，其中：专项债券建设期利息计184.00万元计入建设成本，专项债券在运营期间产生的利息费用1886.00万元。</w:t>
      </w:r>
    </w:p>
    <w:p w14:paraId="1353F082">
      <w:pPr>
        <w:spacing w:beforeLines="50" w:afterLines="50" w:line="360" w:lineRule="auto"/>
        <w:ind w:firstLine="643" w:firstLineChars="200"/>
        <w:outlineLvl w:val="9"/>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2.项目资金平衡情况</w:t>
      </w:r>
      <w:bookmarkEnd w:id="107"/>
      <w:bookmarkEnd w:id="108"/>
      <w:bookmarkEnd w:id="109"/>
      <w:bookmarkEnd w:id="110"/>
    </w:p>
    <w:p w14:paraId="22B5410A">
      <w:pPr>
        <w:bidi w:val="0"/>
        <w:rPr>
          <w:rFonts w:hint="eastAsia"/>
          <w:lang w:val="en-US" w:eastAsia="zh-CN"/>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26" w:charSpace="0"/>
        </w:sectPr>
      </w:pPr>
      <w:r>
        <w:rPr>
          <w:rFonts w:hint="eastAsia"/>
          <w:lang w:val="en-US"/>
        </w:rPr>
        <w:t>待本项目全部专项债券到期时，在偿还当年到期的专项债券本息后，将仍有</w:t>
      </w:r>
      <w:r>
        <w:rPr>
          <w:rFonts w:hint="default" w:ascii="Times New Roman" w:hAnsi="Times New Roman" w:cs="Times New Roman"/>
          <w:color w:val="auto"/>
          <w:lang w:val="en-US" w:eastAsia="zh-CN"/>
        </w:rPr>
        <w:t>1387.69</w:t>
      </w:r>
      <w:r>
        <w:rPr>
          <w:rFonts w:hint="eastAsia"/>
          <w:lang w:val="en-US"/>
        </w:rPr>
        <w:t>万元的累计现金结余，本期债券本息的覆盖率为1.</w:t>
      </w:r>
      <w:r>
        <w:rPr>
          <w:rFonts w:hint="eastAsia"/>
          <w:lang w:val="en-US" w:eastAsia="zh-CN"/>
        </w:rPr>
        <w:t>18</w:t>
      </w:r>
      <w:r>
        <w:rPr>
          <w:rFonts w:hint="eastAsia"/>
          <w:lang w:val="en-US"/>
        </w:rPr>
        <w:t>倍，能够实现项目收益和融资自求平衡。期间不存在资金缺口</w:t>
      </w:r>
      <w:r>
        <w:rPr>
          <w:rFonts w:hint="eastAsia"/>
          <w:lang w:val="en-US" w:eastAsia="zh-CN"/>
        </w:rPr>
        <w:t>。</w:t>
      </w:r>
    </w:p>
    <w:p w14:paraId="3A376452">
      <w:pPr>
        <w:pStyle w:val="5"/>
        <w:keepNext w:val="0"/>
        <w:keepLines w:val="0"/>
        <w:pageBreakBefore w:val="0"/>
        <w:widowControl/>
        <w:kinsoku/>
        <w:wordWrap/>
        <w:overflowPunct/>
        <w:topLinePunct w:val="0"/>
        <w:autoSpaceDE/>
        <w:autoSpaceDN/>
        <w:bidi w:val="0"/>
        <w:adjustRightInd w:val="0"/>
        <w:snapToGrid w:val="0"/>
        <w:spacing w:before="192" w:beforeLines="50" w:after="192" w:afterLines="50" w:line="360" w:lineRule="auto"/>
        <w:ind w:firstLine="0" w:firstLineChars="0"/>
        <w:jc w:val="center"/>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资金平衡测算表（单位：万元）</w:t>
      </w:r>
    </w:p>
    <w:tbl>
      <w:tblPr>
        <w:tblStyle w:val="1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3309"/>
        <w:gridCol w:w="1041"/>
        <w:gridCol w:w="1005"/>
        <w:gridCol w:w="1005"/>
        <w:gridCol w:w="895"/>
        <w:gridCol w:w="895"/>
        <w:gridCol w:w="895"/>
        <w:gridCol w:w="895"/>
        <w:gridCol w:w="895"/>
        <w:gridCol w:w="931"/>
        <w:gridCol w:w="931"/>
        <w:gridCol w:w="988"/>
        <w:gridCol w:w="988"/>
      </w:tblGrid>
      <w:tr w14:paraId="4A5C9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98FF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09F6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FBB0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合计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1D1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建设期</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81A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运营期</w:t>
            </w:r>
          </w:p>
        </w:tc>
      </w:tr>
      <w:tr w14:paraId="61CAE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blHead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E79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FE10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D73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E2A6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64A2A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第2年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5F3D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第3年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458A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第4年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1873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第5年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62DD7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第6年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AAB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第7年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2FD0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第8年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BC67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第9年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6100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第10年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491F4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第11年</w:t>
            </w:r>
          </w:p>
        </w:tc>
      </w:tr>
      <w:tr w14:paraId="7F6CC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AE8C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7003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经营活动产生的息前净现金流量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E3C0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7773.69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D5B0B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FCC2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454F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122.05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3997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183.49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1721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244.94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E8AC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319.64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4E30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382.92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DCB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437.65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FAF49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450.76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9601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450.76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C578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450.76</w:t>
            </w:r>
          </w:p>
        </w:tc>
      </w:tr>
      <w:tr w14:paraId="69376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EB59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7BBB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D97D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13329.53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0927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946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8322B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349.12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574DF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418.94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399A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488.77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F5CC0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575.35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13C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647.26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A198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719.18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1FD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80555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EFA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740.76</w:t>
            </w:r>
          </w:p>
        </w:tc>
      </w:tr>
      <w:tr w14:paraId="3F2F2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4962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6B2C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3739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13329.53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E72F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B230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FE87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349.12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A9332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418.94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5E04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488.77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5F7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575.35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5468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647.26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18F43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719.18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E17D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9C89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F140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740.76</w:t>
            </w:r>
          </w:p>
        </w:tc>
      </w:tr>
      <w:tr w14:paraId="5CCC6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1FDE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25BD6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补贴收入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DBA67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B14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0BE0E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25B43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2CF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7C33D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1FE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2E9A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50BE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7A3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8348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46E4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E4C5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303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E97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D7A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5555.84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09A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DC6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E367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7CB4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87D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243.83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4DC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255.71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2A74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1E8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2FE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BD81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CCB7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290.00</w:t>
            </w:r>
          </w:p>
        </w:tc>
      </w:tr>
      <w:tr w14:paraId="5A254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8682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4111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经营成本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C998A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5197.11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7817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7677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5727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279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FB4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243.83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14EA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255.71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2DFD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ADA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F68B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277.08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2794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277.08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DF660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277.08</w:t>
            </w:r>
          </w:p>
        </w:tc>
      </w:tr>
      <w:tr w14:paraId="5B2F1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09E0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3404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其他支出</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相关税费</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所得税</w:t>
            </w: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0FE3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E34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774D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AAEC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1DE5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8DAC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1999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FA8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09C1E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2898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6270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9DB0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12.92</w:t>
            </w:r>
          </w:p>
        </w:tc>
      </w:tr>
      <w:tr w14:paraId="77DBB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B7543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A361A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投资活动净现金流量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10F30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93FB2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-3816.00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7880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-2713.50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2CE6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2D48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74D2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E88F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BC0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146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D071A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A52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3205B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r>
      <w:tr w14:paraId="430E4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F1D4C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A7951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4100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BA5F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DB4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1664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51C67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0BDC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919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B57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8C1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1C30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91B7B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55C1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4EB17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0FDB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8EE4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处置投资物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EBA5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27A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C2ED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680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9CD8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993D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576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A9C3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7C080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9AA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01C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DC69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3413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08385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141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收到其他投资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AA70D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5651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69DD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161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45E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8B6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A7D55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8280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4727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480D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F8AE3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B7FD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264E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BD75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7674F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E4716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D2CE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D0911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2713.50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A463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A91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D49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DB6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A91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8D38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F6AC8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249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44D7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5D74E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37E23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045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建设投资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DCA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43DD1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718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2713.50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B28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8FED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54D2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CF40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7FB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3D309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944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3B57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B0C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2455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1E4A6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4BE3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维持运营投资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2084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7BC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458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E09A9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326C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73B6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E4B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871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6906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770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285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B92C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22B3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0ACE3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4E60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筹措活动净现金流量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B94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143.50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3A31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3816.00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705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2713.50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2D39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2E77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5D540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FCB0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5498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9C7C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15CB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9404D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F2ED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r>
      <w:tr w14:paraId="0CE03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B524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51C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6383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6718.00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5E31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62780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5FAD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D18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D6CBF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D6E8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823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187EE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2F03E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FF7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E510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9E58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5D4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431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项目资本金投入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D71D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41DE1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060F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1818.00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9789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3F35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450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392B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999AF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792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7080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781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F27A7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06955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30335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8BE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专项债券资金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1C17A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1EB11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6632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9A0E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2FA1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F0C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D92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4B65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7A5D2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DA1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56AB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417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2A7F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C36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F36F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市场化融资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E3BC8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A7E8C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CDBF6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97EE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A5D3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F5E5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0CF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9CC44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28EEB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4F56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7771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9AB3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A60D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B5C0B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A156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C4A08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6574.50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ACAC9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1B06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321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BD4ED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082F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3DE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9C0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AD3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E782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48AF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938D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r>
      <w:tr w14:paraId="1BDC9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36EFF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60FF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支付债券利息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F80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2C58A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D0E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60C0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CFD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CB93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50F08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6A2F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67BA3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70753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98CA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F3C3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r>
      <w:tr w14:paraId="1B311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4775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E1267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支付债券发行费用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37F3E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A14D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6125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929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F0D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7C2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C5D2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B512E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859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CCBD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26EB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284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8964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05E21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5FD8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支付市场化融资利息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00D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C205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AB9A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5DCFD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E12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CD9F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8FD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D7D39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0C0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5C6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3D83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B82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7A3C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0577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1B7B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支付市场化融资发行费用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0F76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86F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681D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D53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97A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282F4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EBF4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782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6168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86F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6628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51D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3C954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C01B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50FC0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支付专项债券本金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1DA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9DDD7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B2D3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B03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C6E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DBD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6251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25FE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DDB80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010E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ACAE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8F285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14:paraId="2A717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B9B1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D92A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支付市场化融资本金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F0D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6047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38D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242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D3F2C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E64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1C7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378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C27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BFC5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9313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523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400D4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B571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0340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现金流量总计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0FE86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FE0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D1408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963E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E0F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0678D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D5493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4683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ABF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718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3470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5061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r>
      <w:tr w14:paraId="212D3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BC26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7A7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项目期的期初资金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CAB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87F4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660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FA60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9969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511D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D228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204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456.12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45907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D5B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57D7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1416.95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4165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1764.21</w:t>
            </w:r>
          </w:p>
        </w:tc>
      </w:tr>
      <w:tr w14:paraId="4A0A1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1BBC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6EF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项目期内现金变动</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仿宋" w:cs="Times New Roman"/>
                <w:i w:val="0"/>
                <w:iCs w:val="0"/>
                <w:color w:val="000000"/>
                <w:kern w:val="0"/>
                <w:sz w:val="22"/>
                <w:szCs w:val="22"/>
                <w:u w:val="none"/>
                <w:lang w:val="en-US" w:eastAsia="zh-CN" w:bidi="ar"/>
              </w:rPr>
              <w:t>（一</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二</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407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1387.69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2BA18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AD8A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1A0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12B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A090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64F6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BA94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075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334.15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5D9D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347.26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F63F2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347.26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DBEBF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347.26</w:t>
            </w:r>
          </w:p>
        </w:tc>
      </w:tr>
      <w:tr w14:paraId="34D5D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F2E4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4FD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项目期的期末资金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46C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020A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F8D5E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9673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1974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5BFE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43952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456.12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56286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57F1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8A5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1416.95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A3F29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1764.21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91B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2111.46</w:t>
            </w:r>
          </w:p>
        </w:tc>
      </w:tr>
    </w:tbl>
    <w:p w14:paraId="6C8985DD">
      <w:pPr>
        <w:pStyle w:val="5"/>
        <w:keepNext w:val="0"/>
        <w:keepLines w:val="0"/>
        <w:pageBreakBefore w:val="0"/>
        <w:widowControl/>
        <w:kinsoku/>
        <w:wordWrap/>
        <w:overflowPunct/>
        <w:topLinePunct w:val="0"/>
        <w:autoSpaceDE/>
        <w:autoSpaceDN/>
        <w:bidi w:val="0"/>
        <w:adjustRightInd w:val="0"/>
        <w:snapToGrid w:val="0"/>
        <w:spacing w:before="192" w:beforeLines="50" w:after="192" w:afterLines="50" w:line="360" w:lineRule="auto"/>
        <w:ind w:firstLine="0" w:firstLineChars="0"/>
        <w:jc w:val="center"/>
        <w:textAlignment w:val="auto"/>
        <w:outlineLvl w:val="9"/>
        <w:rPr>
          <w:rFonts w:hint="eastAsia" w:ascii="仿宋" w:hAnsi="仿宋" w:eastAsia="仿宋" w:cs="仿宋"/>
          <w:b w:val="0"/>
          <w:bCs w:val="0"/>
          <w:sz w:val="32"/>
          <w:szCs w:val="32"/>
          <w:lang w:val="en-US" w:eastAsia="zh-CN"/>
        </w:rPr>
      </w:pPr>
    </w:p>
    <w:p w14:paraId="6A4484E6">
      <w:pPr>
        <w:rPr>
          <w:rFonts w:hint="eastAsia"/>
          <w:lang w:val="en-US" w:eastAsia="zh-CN"/>
        </w:rPr>
      </w:pPr>
      <w:r>
        <w:rPr>
          <w:rFonts w:hint="eastAsia"/>
          <w:lang w:val="en-US" w:eastAsia="zh-CN"/>
        </w:rPr>
        <w:br w:type="page"/>
      </w:r>
    </w:p>
    <w:p w14:paraId="5FA60C7A">
      <w:pPr>
        <w:pStyle w:val="5"/>
        <w:ind w:left="0" w:leftChars="0" w:firstLine="0" w:firstLineChars="0"/>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续前表：</w:t>
      </w:r>
    </w:p>
    <w:tbl>
      <w:tblPr>
        <w:tblStyle w:val="1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3309"/>
        <w:gridCol w:w="1041"/>
        <w:gridCol w:w="988"/>
        <w:gridCol w:w="988"/>
        <w:gridCol w:w="988"/>
        <w:gridCol w:w="988"/>
        <w:gridCol w:w="988"/>
        <w:gridCol w:w="988"/>
        <w:gridCol w:w="988"/>
        <w:gridCol w:w="988"/>
        <w:gridCol w:w="1005"/>
        <w:gridCol w:w="1005"/>
      </w:tblGrid>
      <w:tr w14:paraId="26946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3351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D30E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B025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合计</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6A6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运营期</w:t>
            </w:r>
          </w:p>
        </w:tc>
      </w:tr>
      <w:tr w14:paraId="7F663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blHead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5228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BC5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C18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BD63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第12年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57391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第13年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6C31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第14年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AEA4A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第15年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15F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第16年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D3C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42EA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00E8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第19年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5372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第20年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997C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第21年</w:t>
            </w:r>
          </w:p>
        </w:tc>
      </w:tr>
      <w:tr w14:paraId="63329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254AE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1496E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经营活动产生的息前净现金流量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27B4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7773.69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EF8A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464.23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024E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464.23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81D8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464.23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9BE99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478.12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6440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478.12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5EBD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478.12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EFA4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492.43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45E6E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492.43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8578C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470.68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E0CC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448.11</w:t>
            </w:r>
          </w:p>
        </w:tc>
      </w:tr>
      <w:tr w14:paraId="29206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196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4E205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BAA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13329.53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CEC6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1786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61BE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BAAD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DF5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36C9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D1DD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50A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8F7E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1F5D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833.73</w:t>
            </w:r>
          </w:p>
        </w:tc>
      </w:tr>
      <w:tr w14:paraId="496B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B5C10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5B54C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78BE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13329.53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629D8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D9D5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65261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1861B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676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5BE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FF46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A83B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5BEA7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59197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833.73</w:t>
            </w:r>
          </w:p>
        </w:tc>
      </w:tr>
      <w:tr w14:paraId="7D839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585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9F8E0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补贴收入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C5FF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BD7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F5D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991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B154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E10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0BFA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A07F3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A0023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3AB9B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05F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F282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326E5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7B1E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EDE2D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5555.84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13F9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B585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8FFB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7190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89D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EE6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AA6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317.02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41A5C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317.02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47A3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338.77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63A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385.62</w:t>
            </w:r>
          </w:p>
        </w:tc>
      </w:tr>
      <w:tr w14:paraId="2D9C1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714E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5F39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经营成本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F3A9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5197.11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788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2E8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E87F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C519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AAD8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5E39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3D973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0616F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059E8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EF81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294.83</w:t>
            </w:r>
          </w:p>
        </w:tc>
      </w:tr>
      <w:tr w14:paraId="4CF4D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97460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3B9A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其他支出</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相关税费</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所得税</w:t>
            </w:r>
            <w:r>
              <w:rPr>
                <w:rFonts w:hint="default" w:ascii="Times New Roman" w:hAnsi="Times New Roman" w:eastAsia="宋体" w:cs="Times New Roman"/>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AF349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73F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80FF9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DBAAD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D3F2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C2613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CFE3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A40C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D417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1487C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48.57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827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90.79</w:t>
            </w:r>
          </w:p>
        </w:tc>
      </w:tr>
      <w:tr w14:paraId="1058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587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1CE6B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投资活动净现金流量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F934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3A034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5663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EFE21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07E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BB3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99E6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425B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A4EE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0F08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FB0E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r>
      <w:tr w14:paraId="570FC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520CF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9C68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97C77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C2B9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1BC5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9B5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D5D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2EA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F201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F19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AFB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399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A022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2BDDA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B23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101A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处置投资物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6AB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DDF2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F78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5B7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554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7254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5A0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7D5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AEB8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318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3EC9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56E55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83E17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3DF7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收到其他投资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9679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A8E5B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6460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E7D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8D34E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4D41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726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1FD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409C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D8EE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FC7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1BB6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3BB3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FEED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04354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614E9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190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1A6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519B9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940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735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51F6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15D2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F620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DF4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7E164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DFA0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2C7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建设投资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178C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6529.50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227FE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26F6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DD1E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3C1C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8E8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9E14D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77C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12B8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D17D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19A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720DA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5B547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D451F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维持运营投资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7A3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5E91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A955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3380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C58CF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F226F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4254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0F992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87E5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845A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DFEAF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05F10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E9F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2BF3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筹措活动净现金流量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9C08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143.50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7EB94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91F93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B0B3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718F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4E459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026B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55CA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698CF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98BCB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-3603.50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3F73F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-1023.00</w:t>
            </w:r>
          </w:p>
        </w:tc>
      </w:tr>
      <w:tr w14:paraId="27288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A5A15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5B9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3DB9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6718.00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8958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5B39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36B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676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BC5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02A4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101A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D43F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505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C566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48CC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DAD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C0F7B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项目资本金投入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EA5C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79430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F3B6C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831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2CEB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B46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19D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F166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C88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8A33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10E3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2D60C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5BE6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FF8A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专项债券资金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F570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E1E90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862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A36A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6B27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A59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18BDD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998D7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EBE6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CC7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9D7C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63DAC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5A622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1379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市场化融资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EEC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60D4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ACE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C16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C4C2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710A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B3283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EFA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27D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3D28E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3FF9D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1428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400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119E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现金流出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0D71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6574.50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F28F4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572C2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3770F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DB919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96F4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599B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CD7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AC528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2494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F46D3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1023.00</w:t>
            </w:r>
          </w:p>
        </w:tc>
      </w:tr>
      <w:tr w14:paraId="5BD5D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885A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0B258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支付债券利息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56F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0BF7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29F4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E8B6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EBCD1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9AB8F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7571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68E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F8E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D959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5A74F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w:t>
            </w:r>
          </w:p>
        </w:tc>
      </w:tr>
      <w:tr w14:paraId="60DE8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CF1AA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2FAE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支付债券发行费用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DE1FC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F176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C799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7A6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0DB7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6D8B4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C583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772D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E516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216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D8B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7CBC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D000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21787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支付市场化融资利息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6606A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A117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1EAB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2812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A23B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2656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892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31E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993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348C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DC1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16BCC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50133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CCC0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支付市场化融资发行费用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AC2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07642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9012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6ADC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F971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BA324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BF7F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0A91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7B0B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CD3B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75F2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r>
      <w:tr w14:paraId="0B28C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3F54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A447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支付专项债券本金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B1C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57D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56A3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8F5C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DE4C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1DA1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B06BD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B0AE3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9F43A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B9EED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AFD9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1000.00</w:t>
            </w:r>
          </w:p>
        </w:tc>
      </w:tr>
      <w:tr w14:paraId="145AD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87C07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0DD3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支付市场化融资本金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0C86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591C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AE7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9411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8324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C200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AF1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7CDD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01E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79E0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B374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FF0000"/>
                <w:sz w:val="22"/>
                <w:szCs w:val="22"/>
                <w:u w:val="none"/>
              </w:rPr>
            </w:pPr>
          </w:p>
        </w:tc>
      </w:tr>
      <w:tr w14:paraId="43B79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322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560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 w:cs="Times New Roman"/>
                <w:b/>
                <w:bCs/>
                <w:i w:val="0"/>
                <w:iCs w:val="0"/>
                <w:color w:val="000000"/>
                <w:kern w:val="0"/>
                <w:sz w:val="22"/>
                <w:szCs w:val="22"/>
                <w:u w:val="none"/>
                <w:lang w:val="en-US" w:eastAsia="zh-CN" w:bidi="ar"/>
              </w:rPr>
              <w:t>现金流量总计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D47C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5DC2C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2CD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402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BD5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2384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2B0F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7AB1D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F6192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228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2C3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b/>
                <w:bCs/>
                <w:i w:val="0"/>
                <w:iCs w:val="0"/>
                <w:color w:val="FF0000"/>
                <w:sz w:val="22"/>
                <w:szCs w:val="22"/>
                <w:u w:val="none"/>
              </w:rPr>
            </w:pPr>
          </w:p>
        </w:tc>
      </w:tr>
      <w:tr w14:paraId="1E1F9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175F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4E2F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项目期的期初资金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C9E3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798C8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013C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2472.20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25AB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378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3193.66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751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3568.29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6F3A0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3942.91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85E64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4317.54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298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4706.47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ED8E5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BC3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1962.58</w:t>
            </w:r>
          </w:p>
        </w:tc>
      </w:tr>
      <w:tr w14:paraId="6DC81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1C0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D0D36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项目期内现金变动</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仿宋" w:cs="Times New Roman"/>
                <w:i w:val="0"/>
                <w:iCs w:val="0"/>
                <w:color w:val="000000"/>
                <w:kern w:val="0"/>
                <w:sz w:val="22"/>
                <w:szCs w:val="22"/>
                <w:u w:val="none"/>
                <w:lang w:val="en-US" w:eastAsia="zh-CN" w:bidi="ar"/>
              </w:rPr>
              <w:t>（一</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二</w:t>
            </w:r>
            <w:r>
              <w:rPr>
                <w:rFonts w:hint="default"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仿宋" w:cs="Times New Roman"/>
                <w:i w:val="0"/>
                <w:iCs w:val="0"/>
                <w:color w:val="000000"/>
                <w:kern w:val="0"/>
                <w:sz w:val="22"/>
                <w:szCs w:val="22"/>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C2384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1387.69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B715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E48C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915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1EA6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374.62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31460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374.62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4D45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374.62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926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388.93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7919B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388.93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379E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-3132.82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712A7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-574.89</w:t>
            </w:r>
          </w:p>
        </w:tc>
      </w:tr>
      <w:tr w14:paraId="1B23C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3D3D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66AE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项目期的期末资金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719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F0CF0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2472.20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74D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5F7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3193.66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6DE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3568.29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6DB5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3942.91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49B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4317.54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BA4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4706.47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AB8B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5095.40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1BC0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2500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1387.69</w:t>
            </w:r>
          </w:p>
        </w:tc>
      </w:tr>
    </w:tbl>
    <w:p w14:paraId="4B3E9F32">
      <w:pPr>
        <w:pStyle w:val="5"/>
        <w:ind w:left="0" w:leftChars="0" w:firstLine="0" w:firstLineChars="0"/>
        <w:rPr>
          <w:rFonts w:hint="default" w:ascii="Times New Roman" w:hAnsi="Times New Roman" w:eastAsia="仿宋" w:cs="Times New Roman"/>
          <w:color w:val="auto"/>
          <w:lang w:val="en-US" w:eastAsia="zh-CN"/>
        </w:rPr>
      </w:pPr>
    </w:p>
    <w:p w14:paraId="48A733B7">
      <w:pPr>
        <w:pStyle w:val="15"/>
        <w:ind w:left="0" w:leftChars="0" w:firstLine="0" w:firstLineChars="0"/>
        <w:rPr>
          <w:rFonts w:hint="default" w:ascii="Times New Roman" w:hAnsi="Times New Roman" w:eastAsia="仿宋" w:cs="Times New Roman"/>
          <w:color w:val="auto"/>
          <w:lang w:eastAsia="zh-CN"/>
        </w:rPr>
        <w:sectPr>
          <w:pgSz w:w="16838" w:h="11906" w:orient="landscape"/>
          <w:pgMar w:top="720" w:right="720" w:bottom="720" w:left="720" w:header="397" w:footer="992" w:gutter="0"/>
          <w:pgNumType w:fmt="decimal"/>
          <w:cols w:space="720" w:num="1"/>
          <w:docGrid w:type="lines" w:linePitch="381" w:charSpace="0"/>
        </w:sectPr>
      </w:pPr>
    </w:p>
    <w:p w14:paraId="4DF5508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0" w:firstLineChars="0"/>
        <w:textAlignment w:val="auto"/>
        <w:outlineLvl w:val="0"/>
        <w:rPr>
          <w:rFonts w:hint="eastAsia" w:eastAsia="黑体"/>
          <w:sz w:val="32"/>
          <w:szCs w:val="32"/>
        </w:rPr>
      </w:pPr>
      <w:r>
        <w:rPr>
          <w:rFonts w:hint="eastAsia" w:eastAsia="黑体"/>
          <w:sz w:val="32"/>
          <w:szCs w:val="32"/>
        </w:rPr>
        <w:t>五、项目绩效目标</w:t>
      </w:r>
    </w:p>
    <w:p w14:paraId="45F1BB42">
      <w:pPr>
        <w:bidi w:val="0"/>
        <w:rPr>
          <w:rFonts w:hint="eastAsia"/>
          <w:highlight w:val="none"/>
          <w:lang w:val="en-US" w:eastAsia="zh-CN"/>
        </w:rPr>
      </w:pPr>
      <w:r>
        <w:rPr>
          <w:rFonts w:hint="eastAsia"/>
          <w:highlight w:val="none"/>
          <w:lang w:val="en-US" w:eastAsia="zh-CN"/>
        </w:rPr>
        <w:t>1.项目总体建设目标：</w:t>
      </w:r>
    </w:p>
    <w:p w14:paraId="407C81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目标1：</w:t>
      </w:r>
      <w:r>
        <w:rPr>
          <w:rFonts w:hint="default" w:ascii="Times New Roman" w:hAnsi="Times New Roman" w:cs="Times New Roman"/>
          <w:color w:val="auto"/>
          <w:highlight w:val="none"/>
          <w:lang w:val="en-US" w:eastAsia="zh-CN"/>
        </w:rPr>
        <w:t>建设</w:t>
      </w:r>
      <w:r>
        <w:rPr>
          <w:rFonts w:hint="default" w:ascii="Times New Roman" w:hAnsi="Times New Roman" w:eastAsia="仿宋" w:cs="Times New Roman"/>
          <w:color w:val="auto"/>
          <w:highlight w:val="none"/>
          <w:lang w:val="en-US" w:eastAsia="zh-CN"/>
        </w:rPr>
        <w:t>教育行业云</w:t>
      </w:r>
      <w:r>
        <w:rPr>
          <w:rFonts w:hint="default" w:ascii="Times New Roman" w:hAnsi="Times New Roman" w:cs="Times New Roman"/>
          <w:color w:val="auto"/>
          <w:highlight w:val="none"/>
          <w:lang w:val="en-US" w:eastAsia="zh-CN"/>
        </w:rPr>
        <w:t>、</w:t>
      </w:r>
      <w:r>
        <w:rPr>
          <w:rFonts w:hint="default" w:ascii="Times New Roman" w:hAnsi="Times New Roman" w:eastAsia="仿宋" w:cs="Times New Roman"/>
          <w:color w:val="auto"/>
          <w:highlight w:val="none"/>
          <w:lang w:val="en-US" w:eastAsia="zh-CN"/>
        </w:rPr>
        <w:t>教育城域网</w:t>
      </w:r>
      <w:r>
        <w:rPr>
          <w:rFonts w:hint="default" w:ascii="Times New Roman" w:hAnsi="Times New Roman" w:cs="Times New Roman"/>
          <w:color w:val="auto"/>
          <w:highlight w:val="none"/>
          <w:lang w:val="en-US" w:eastAsia="zh-CN"/>
        </w:rPr>
        <w:t>及</w:t>
      </w:r>
      <w:r>
        <w:rPr>
          <w:rFonts w:hint="default" w:ascii="Times New Roman" w:hAnsi="Times New Roman" w:eastAsia="仿宋" w:cs="Times New Roman"/>
          <w:color w:val="auto"/>
          <w:highlight w:val="none"/>
          <w:lang w:val="en-US" w:eastAsia="zh-CN"/>
        </w:rPr>
        <w:t>运营管理中心。</w:t>
      </w:r>
    </w:p>
    <w:p w14:paraId="018FB4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color w:val="auto"/>
          <w:highlight w:val="none"/>
          <w:lang w:val="en-US" w:eastAsia="zh-CN"/>
        </w:rPr>
      </w:pPr>
      <w:r>
        <w:rPr>
          <w:rFonts w:hint="default" w:ascii="Times New Roman" w:hAnsi="Times New Roman" w:cs="Times New Roman"/>
          <w:color w:val="auto"/>
          <w:highlight w:val="none"/>
          <w:lang w:val="en-US" w:eastAsia="zh-CN"/>
        </w:rPr>
        <w:t>目标2：开发</w:t>
      </w:r>
      <w:r>
        <w:rPr>
          <w:rFonts w:hint="default" w:ascii="Times New Roman" w:hAnsi="Times New Roman" w:cs="Times New Roman"/>
          <w:color w:val="auto"/>
          <w:szCs w:val="28"/>
          <w:lang w:eastAsia="zh-CN"/>
        </w:rPr>
        <w:t>公共支撑与决策系统、教学与成长管理系统、校园智能管理系统、数字化学习系统、AI教育应用系统等</w:t>
      </w:r>
      <w:r>
        <w:rPr>
          <w:rFonts w:hint="default" w:ascii="Times New Roman" w:hAnsi="Times New Roman" w:cs="Times New Roman"/>
          <w:color w:val="auto"/>
          <w:szCs w:val="28"/>
          <w:lang w:val="en-US" w:eastAsia="zh-CN"/>
        </w:rPr>
        <w:t>智慧应用系统</w:t>
      </w:r>
      <w:r>
        <w:rPr>
          <w:rFonts w:hint="default" w:ascii="Times New Roman" w:hAnsi="Times New Roman" w:cs="Times New Roman"/>
          <w:color w:val="auto"/>
          <w:szCs w:val="28"/>
          <w:lang w:eastAsia="zh-CN"/>
        </w:rPr>
        <w:t>。</w:t>
      </w:r>
    </w:p>
    <w:p w14:paraId="3F2849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目标</w:t>
      </w:r>
      <w:r>
        <w:rPr>
          <w:rFonts w:hint="default" w:ascii="Times New Roman" w:hAnsi="Times New Roman" w:cs="Times New Roman"/>
          <w:color w:val="auto"/>
          <w:highlight w:val="none"/>
          <w:lang w:val="en-US" w:eastAsia="zh-CN"/>
        </w:rPr>
        <w:t>:3</w:t>
      </w:r>
      <w:r>
        <w:rPr>
          <w:rFonts w:hint="default" w:ascii="Times New Roman" w:hAnsi="Times New Roman" w:eastAsia="仿宋" w:cs="Times New Roman"/>
          <w:color w:val="auto"/>
          <w:highlight w:val="none"/>
          <w:lang w:val="en-US" w:eastAsia="zh-CN"/>
        </w:rPr>
        <w:t>：在202</w:t>
      </w:r>
      <w:r>
        <w:rPr>
          <w:rFonts w:hint="default" w:ascii="Times New Roman" w:hAnsi="Times New Roman" w:cs="Times New Roman"/>
          <w:color w:val="auto"/>
          <w:highlight w:val="none"/>
          <w:lang w:val="en-US" w:eastAsia="zh-CN"/>
        </w:rPr>
        <w:t>7</w:t>
      </w:r>
      <w:r>
        <w:rPr>
          <w:rFonts w:hint="default" w:ascii="Times New Roman" w:hAnsi="Times New Roman" w:eastAsia="仿宋" w:cs="Times New Roman"/>
          <w:color w:val="auto"/>
          <w:highlight w:val="none"/>
          <w:lang w:val="en-US" w:eastAsia="zh-CN"/>
        </w:rPr>
        <w:t>年</w:t>
      </w:r>
      <w:r>
        <w:rPr>
          <w:rFonts w:hint="default" w:ascii="Times New Roman" w:hAnsi="Times New Roman" w:cs="Times New Roman"/>
          <w:color w:val="auto"/>
          <w:highlight w:val="none"/>
          <w:lang w:val="en-US" w:eastAsia="zh-CN"/>
        </w:rPr>
        <w:t>12</w:t>
      </w:r>
      <w:r>
        <w:rPr>
          <w:rFonts w:hint="default" w:ascii="Times New Roman" w:hAnsi="Times New Roman" w:eastAsia="仿宋" w:cs="Times New Roman"/>
          <w:color w:val="auto"/>
          <w:highlight w:val="none"/>
          <w:lang w:val="en-US" w:eastAsia="zh-CN"/>
        </w:rPr>
        <w:t>月底前完成项目竣工验收。</w:t>
      </w:r>
    </w:p>
    <w:p w14:paraId="435934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color w:val="auto"/>
          <w:highlight w:val="none"/>
          <w:lang w:val="en-US" w:eastAsia="zh-CN"/>
        </w:rPr>
      </w:pPr>
      <w:r>
        <w:rPr>
          <w:rFonts w:hint="default" w:ascii="Times New Roman" w:hAnsi="Times New Roman" w:eastAsia="仿宋" w:cs="Times New Roman"/>
          <w:color w:val="auto"/>
          <w:highlight w:val="none"/>
          <w:lang w:val="en-US" w:eastAsia="zh-CN"/>
        </w:rPr>
        <w:t>目标</w:t>
      </w:r>
      <w:r>
        <w:rPr>
          <w:rFonts w:hint="default" w:ascii="Times New Roman" w:hAnsi="Times New Roman" w:cs="Times New Roman"/>
          <w:color w:val="auto"/>
          <w:highlight w:val="none"/>
          <w:lang w:val="en-US" w:eastAsia="zh-CN"/>
        </w:rPr>
        <w:t>4</w:t>
      </w:r>
      <w:r>
        <w:rPr>
          <w:rFonts w:hint="default" w:ascii="Times New Roman" w:hAnsi="Times New Roman" w:eastAsia="仿宋" w:cs="Times New Roman"/>
          <w:color w:val="auto"/>
          <w:highlight w:val="none"/>
          <w:lang w:val="en-US" w:eastAsia="zh-CN"/>
        </w:rPr>
        <w:t>：债券存续期内实现年度收支平衡和总体收支平衡。</w:t>
      </w:r>
    </w:p>
    <w:p w14:paraId="02876B78">
      <w:pPr>
        <w:bidi w:val="0"/>
        <w:rPr>
          <w:rFonts w:hint="eastAsia" w:ascii="Times New Roman" w:hAnsi="Times New Roman"/>
          <w:highlight w:val="none"/>
          <w:lang w:val="en-US" w:eastAsia="zh-CN"/>
        </w:rPr>
      </w:pPr>
      <w:r>
        <w:rPr>
          <w:rFonts w:hint="default" w:ascii="Times New Roman" w:hAnsi="Times New Roman" w:eastAsia="仿宋" w:cs="Times New Roman"/>
          <w:color w:val="auto"/>
          <w:highlight w:val="none"/>
          <w:lang w:val="en-US" w:eastAsia="zh-CN"/>
        </w:rPr>
        <w:t>目标</w:t>
      </w:r>
      <w:r>
        <w:rPr>
          <w:rFonts w:hint="default" w:ascii="Times New Roman" w:hAnsi="Times New Roman" w:cs="Times New Roman"/>
          <w:color w:val="auto"/>
          <w:highlight w:val="none"/>
          <w:lang w:val="en-US" w:eastAsia="zh-CN"/>
        </w:rPr>
        <w:t>5</w:t>
      </w:r>
      <w:r>
        <w:rPr>
          <w:rFonts w:hint="default" w:ascii="Times New Roman" w:hAnsi="Times New Roman" w:eastAsia="仿宋" w:cs="Times New Roman"/>
          <w:color w:val="auto"/>
          <w:highlight w:val="none"/>
          <w:lang w:val="en-US" w:eastAsia="zh-CN"/>
        </w:rPr>
        <w:t>：</w:t>
      </w:r>
      <w:r>
        <w:rPr>
          <w:rFonts w:hint="default" w:ascii="Times New Roman" w:hAnsi="Times New Roman" w:cs="Times New Roman"/>
          <w:color w:val="auto"/>
          <w:highlight w:val="none"/>
          <w:lang w:val="en-US" w:eastAsia="zh-CN"/>
        </w:rPr>
        <w:t>提高</w:t>
      </w:r>
      <w:r>
        <w:rPr>
          <w:rFonts w:hint="default" w:ascii="Times New Roman" w:hAnsi="Times New Roman" w:cs="Times New Roman"/>
          <w:lang w:val="en-US" w:eastAsia="zh-CN"/>
        </w:rPr>
        <w:t>宁南县教育能力</w:t>
      </w:r>
      <w:r>
        <w:rPr>
          <w:rFonts w:hint="default" w:ascii="Times New Roman" w:hAnsi="Times New Roman" w:eastAsia="仿宋" w:cs="Times New Roman"/>
          <w:color w:val="auto"/>
          <w:highlight w:val="none"/>
          <w:lang w:val="en-US" w:eastAsia="zh-CN"/>
        </w:rPr>
        <w:t>，</w:t>
      </w:r>
      <w:r>
        <w:rPr>
          <w:rFonts w:hint="default" w:ascii="Times New Roman" w:hAnsi="Times New Roman" w:cs="Times New Roman"/>
          <w:lang w:val="en-US" w:eastAsia="zh-CN"/>
        </w:rPr>
        <w:t>缩小区域差距，</w:t>
      </w:r>
      <w:r>
        <w:rPr>
          <w:rFonts w:hint="default" w:ascii="Times New Roman" w:hAnsi="Times New Roman" w:eastAsia="仿宋" w:cs="Times New Roman"/>
          <w:color w:val="auto"/>
          <w:highlight w:val="none"/>
          <w:lang w:val="en-US" w:eastAsia="zh-CN"/>
        </w:rPr>
        <w:t>促进区域协同发展。</w:t>
      </w:r>
    </w:p>
    <w:p w14:paraId="2D5EE992">
      <w:pPr>
        <w:bidi w:val="0"/>
        <w:rPr>
          <w:rFonts w:hint="eastAsia"/>
          <w:highlight w:val="none"/>
          <w:lang w:val="en-US" w:eastAsia="zh-CN"/>
        </w:rPr>
      </w:pPr>
      <w:r>
        <w:rPr>
          <w:rFonts w:hint="eastAsia"/>
          <w:highlight w:val="none"/>
          <w:lang w:val="en-US" w:eastAsia="zh-CN"/>
        </w:rPr>
        <w:t>2.质量指标</w:t>
      </w:r>
    </w:p>
    <w:p w14:paraId="0DF33AEE">
      <w:pPr>
        <w:bidi w:val="0"/>
        <w:rPr>
          <w:rFonts w:hint="default"/>
          <w:highlight w:val="none"/>
          <w:lang w:val="en-US" w:eastAsia="zh-CN"/>
        </w:rPr>
      </w:pPr>
      <w:r>
        <w:rPr>
          <w:rFonts w:hint="eastAsia"/>
          <w:highlight w:val="none"/>
          <w:lang w:val="en-US" w:eastAsia="zh-CN"/>
        </w:rPr>
        <w:t>指标1：项目竣工验收达标率≥95%。</w:t>
      </w:r>
    </w:p>
    <w:p w14:paraId="453E9EA1">
      <w:pPr>
        <w:bidi w:val="0"/>
        <w:rPr>
          <w:rFonts w:hint="eastAsia"/>
          <w:highlight w:val="none"/>
          <w:lang w:val="en-US" w:eastAsia="zh-CN"/>
        </w:rPr>
      </w:pPr>
      <w:r>
        <w:rPr>
          <w:rFonts w:hint="eastAsia"/>
          <w:highlight w:val="none"/>
          <w:lang w:val="en-US" w:eastAsia="zh-CN"/>
        </w:rPr>
        <w:t>指标2：项目设计方案变更率≤5%。</w:t>
      </w:r>
    </w:p>
    <w:p w14:paraId="50853282">
      <w:pPr>
        <w:bidi w:val="0"/>
        <w:rPr>
          <w:rFonts w:hint="eastAsia"/>
          <w:highlight w:val="none"/>
          <w:lang w:val="en-US" w:eastAsia="zh-CN"/>
        </w:rPr>
      </w:pPr>
      <w:r>
        <w:rPr>
          <w:rFonts w:hint="eastAsia"/>
          <w:highlight w:val="none"/>
          <w:lang w:val="en-US" w:eastAsia="zh-CN"/>
        </w:rPr>
        <w:t>3.成本指标</w:t>
      </w:r>
    </w:p>
    <w:p w14:paraId="30384210">
      <w:pPr>
        <w:bidi w:val="0"/>
        <w:rPr>
          <w:rFonts w:hint="default"/>
          <w:highlight w:val="none"/>
          <w:lang w:val="en-US" w:eastAsia="zh-CN"/>
        </w:rPr>
      </w:pPr>
      <w:r>
        <w:rPr>
          <w:rFonts w:hint="default"/>
          <w:highlight w:val="none"/>
          <w:lang w:val="en-US" w:eastAsia="zh-CN"/>
        </w:rPr>
        <w:t>指标1：项目建设总投资成本</w:t>
      </w:r>
      <w:r>
        <w:rPr>
          <w:rFonts w:hint="eastAsia"/>
          <w:highlight w:val="none"/>
          <w:lang w:val="en-US" w:eastAsia="zh-CN"/>
        </w:rPr>
        <w:t>≤6718万元。</w:t>
      </w:r>
    </w:p>
    <w:p w14:paraId="6D4185A5">
      <w:pPr>
        <w:pStyle w:val="14"/>
        <w:rPr>
          <w:rFonts w:hint="default"/>
          <w:highlight w:val="none"/>
          <w:lang w:val="en-US" w:eastAsia="zh-CN"/>
        </w:rPr>
      </w:pPr>
      <w:r>
        <w:rPr>
          <w:rFonts w:hint="default"/>
          <w:highlight w:val="none"/>
          <w:lang w:val="en-US" w:eastAsia="zh-CN"/>
        </w:rPr>
        <w:t>指标</w:t>
      </w:r>
      <w:r>
        <w:rPr>
          <w:rFonts w:hint="eastAsia"/>
          <w:highlight w:val="none"/>
          <w:lang w:val="en-US" w:eastAsia="zh-CN"/>
        </w:rPr>
        <w:t>2</w:t>
      </w:r>
      <w:r>
        <w:rPr>
          <w:rFonts w:hint="default"/>
          <w:highlight w:val="none"/>
          <w:lang w:val="en-US" w:eastAsia="zh-CN"/>
        </w:rPr>
        <w:t>：项目成本浮动率</w:t>
      </w:r>
      <w:r>
        <w:rPr>
          <w:rFonts w:hint="default" w:ascii="Times New Roman" w:hAnsi="Times New Roman" w:eastAsia="仿宋" w:cstheme="minorBidi"/>
          <w:kern w:val="2"/>
          <w:sz w:val="32"/>
          <w:szCs w:val="30"/>
          <w:highlight w:val="none"/>
          <w:lang w:val="en-US" w:eastAsia="zh-CN" w:bidi="ar-SA"/>
        </w:rPr>
        <w:t>≤5%</w:t>
      </w:r>
      <w:r>
        <w:rPr>
          <w:rFonts w:hint="eastAsia" w:ascii="Times New Roman" w:hAnsi="Times New Roman" w:cstheme="minorBidi"/>
          <w:kern w:val="2"/>
          <w:sz w:val="32"/>
          <w:szCs w:val="30"/>
          <w:highlight w:val="none"/>
          <w:lang w:val="en-US" w:eastAsia="zh-CN" w:bidi="ar-SA"/>
        </w:rPr>
        <w:t>。</w:t>
      </w:r>
    </w:p>
    <w:p w14:paraId="270F5240">
      <w:pPr>
        <w:bidi w:val="0"/>
        <w:rPr>
          <w:rFonts w:hint="eastAsia"/>
          <w:highlight w:val="none"/>
          <w:lang w:val="en-US" w:eastAsia="zh-CN"/>
        </w:rPr>
      </w:pPr>
      <w:r>
        <w:rPr>
          <w:rFonts w:hint="eastAsia"/>
          <w:highlight w:val="none"/>
          <w:lang w:val="en-US" w:eastAsia="zh-CN"/>
        </w:rPr>
        <w:t>4.社会效益指标</w:t>
      </w:r>
    </w:p>
    <w:p w14:paraId="7E4E3491">
      <w:pPr>
        <w:bidi w:val="0"/>
        <w:rPr>
          <w:rFonts w:hint="default"/>
          <w:highlight w:val="none"/>
          <w:lang w:val="en-US" w:eastAsia="zh-CN"/>
        </w:rPr>
      </w:pPr>
      <w:r>
        <w:rPr>
          <w:rFonts w:hint="eastAsia"/>
          <w:highlight w:val="none"/>
          <w:lang w:val="en-US" w:eastAsia="zh-CN"/>
        </w:rPr>
        <w:t>指标1：提高宁南县教育水平－－达成预期目标。</w:t>
      </w:r>
    </w:p>
    <w:p w14:paraId="145E9C58">
      <w:pPr>
        <w:bidi w:val="0"/>
        <w:rPr>
          <w:rFonts w:hint="eastAsia"/>
          <w:highlight w:val="none"/>
          <w:lang w:val="en-US" w:eastAsia="zh-CN"/>
        </w:rPr>
      </w:pPr>
      <w:r>
        <w:rPr>
          <w:rFonts w:hint="eastAsia"/>
          <w:highlight w:val="none"/>
          <w:lang w:val="en-US" w:eastAsia="zh-CN"/>
        </w:rPr>
        <w:t>指标2：实现教育资源公平－－达成预期目标。</w:t>
      </w:r>
    </w:p>
    <w:p w14:paraId="7B4A88B0">
      <w:pPr>
        <w:bidi w:val="0"/>
        <w:rPr>
          <w:rFonts w:hint="eastAsia"/>
          <w:highlight w:val="none"/>
          <w:lang w:val="en-US" w:eastAsia="zh-CN"/>
        </w:rPr>
      </w:pPr>
      <w:r>
        <w:rPr>
          <w:rFonts w:hint="eastAsia"/>
          <w:highlight w:val="none"/>
          <w:lang w:val="en-US" w:eastAsia="zh-CN"/>
        </w:rPr>
        <w:t>5.可持续影响指标</w:t>
      </w:r>
    </w:p>
    <w:p w14:paraId="546953B2">
      <w:pPr>
        <w:bidi w:val="0"/>
        <w:rPr>
          <w:rFonts w:hint="default"/>
          <w:highlight w:val="none"/>
          <w:lang w:val="en-US" w:eastAsia="zh-CN"/>
        </w:rPr>
      </w:pPr>
      <w:r>
        <w:rPr>
          <w:rFonts w:hint="eastAsia"/>
          <w:highlight w:val="none"/>
          <w:lang w:val="en-US" w:eastAsia="zh-CN"/>
        </w:rPr>
        <w:t>指标1：运营期限≧20年。</w:t>
      </w:r>
    </w:p>
    <w:p w14:paraId="78381D22">
      <w:pPr>
        <w:bidi w:val="0"/>
        <w:rPr>
          <w:rFonts w:hint="eastAsia"/>
          <w:highlight w:val="none"/>
          <w:lang w:val="en-US" w:eastAsia="zh-CN"/>
        </w:rPr>
      </w:pPr>
      <w:r>
        <w:rPr>
          <w:rFonts w:hint="eastAsia"/>
          <w:highlight w:val="none"/>
          <w:lang w:val="en-US" w:eastAsia="zh-CN"/>
        </w:rPr>
        <w:t>指标2：打破数据孤岛，促进教育资源共享－－达成预期目标。</w:t>
      </w:r>
    </w:p>
    <w:p w14:paraId="7472E5E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0" w:firstLineChars="0"/>
        <w:textAlignment w:val="auto"/>
        <w:outlineLvl w:val="0"/>
        <w:rPr>
          <w:rFonts w:hint="eastAsia" w:eastAsia="黑体"/>
          <w:sz w:val="32"/>
          <w:szCs w:val="32"/>
        </w:rPr>
      </w:pPr>
      <w:r>
        <w:rPr>
          <w:rFonts w:hint="eastAsia" w:eastAsia="黑体"/>
          <w:sz w:val="32"/>
          <w:szCs w:val="32"/>
        </w:rPr>
        <w:t>六、潜在影响项目的风险评估</w:t>
      </w:r>
    </w:p>
    <w:p w14:paraId="564D6D5A">
      <w:pPr>
        <w:bidi w:val="0"/>
        <w:rPr>
          <w:rFonts w:hint="eastAsia"/>
          <w:lang w:val="en-US" w:eastAsia="zh-CN"/>
        </w:rPr>
      </w:pPr>
      <w:bookmarkStart w:id="111" w:name="_Toc15343"/>
      <w:bookmarkStart w:id="112" w:name="_Toc522211123"/>
      <w:r>
        <w:rPr>
          <w:rFonts w:hint="eastAsia"/>
          <w:lang w:val="en-US" w:eastAsia="zh-CN"/>
        </w:rPr>
        <w:t>1.经营风险</w:t>
      </w:r>
      <w:bookmarkEnd w:id="111"/>
      <w:bookmarkEnd w:id="112"/>
    </w:p>
    <w:p w14:paraId="4076C378">
      <w:pPr>
        <w:bidi w:val="0"/>
        <w:rPr>
          <w:rFonts w:hint="default" w:ascii="Times New Roman" w:hAnsi="Times New Roman"/>
          <w:lang w:val="en-US" w:eastAsia="zh-CN"/>
        </w:rPr>
      </w:pPr>
      <w:bookmarkStart w:id="113" w:name="_Toc522211124"/>
      <w:bookmarkStart w:id="114" w:name="_Toc4440"/>
      <w:r>
        <w:rPr>
          <w:rFonts w:hint="default" w:ascii="Times New Roman" w:hAnsi="Times New Roman"/>
          <w:lang w:val="en-US" w:eastAsia="zh-CN"/>
        </w:rPr>
        <w:t>风险识别：经营风险是指生产经营的不确定性带来的风险。若项目投入运营后收入未能达到预测值，将影响项目整体收益，对债券还本付息产生影响。</w:t>
      </w:r>
    </w:p>
    <w:p w14:paraId="77244B42">
      <w:pPr>
        <w:bidi w:val="0"/>
        <w:rPr>
          <w:rFonts w:hint="default" w:ascii="Times New Roman" w:hAnsi="Times New Roman"/>
          <w:lang w:val="en-US" w:eastAsia="zh-CN"/>
        </w:rPr>
      </w:pPr>
      <w:r>
        <w:rPr>
          <w:rFonts w:hint="default" w:ascii="Times New Roman" w:hAnsi="Times New Roman"/>
          <w:lang w:val="en-US" w:eastAsia="zh-CN"/>
        </w:rPr>
        <w:t>风险控制措施：要求项目管理单位密切关注各项收入支撑情况，根据实际情况调整收入策略，保证还本付息资金。若项目收益不足以平衡专项债券融资本息，则以该地区政府性基金收入来弥补。</w:t>
      </w:r>
    </w:p>
    <w:p w14:paraId="3E602E7A">
      <w:pPr>
        <w:bidi w:val="0"/>
        <w:rPr>
          <w:rFonts w:hint="eastAsia"/>
          <w:lang w:val="en-US" w:eastAsia="zh-CN"/>
        </w:rPr>
      </w:pPr>
      <w:r>
        <w:rPr>
          <w:rFonts w:hint="eastAsia"/>
          <w:lang w:val="en-US" w:eastAsia="zh-CN"/>
        </w:rPr>
        <w:t>2.市场风险</w:t>
      </w:r>
      <w:bookmarkEnd w:id="113"/>
      <w:bookmarkEnd w:id="114"/>
    </w:p>
    <w:p w14:paraId="48B000CA">
      <w:pPr>
        <w:bidi w:val="0"/>
        <w:rPr>
          <w:rFonts w:hint="default" w:ascii="Times New Roman" w:hAnsi="Times New Roman"/>
          <w:lang w:val="en-US" w:eastAsia="zh-CN"/>
        </w:rPr>
      </w:pPr>
      <w:bookmarkStart w:id="115" w:name="_Toc15747"/>
      <w:bookmarkStart w:id="116" w:name="_Toc522211125"/>
      <w:r>
        <w:rPr>
          <w:rFonts w:hint="default" w:ascii="Times New Roman" w:hAnsi="Times New Roman"/>
          <w:lang w:val="en-US" w:eastAsia="zh-CN"/>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14:paraId="510EED60">
      <w:pPr>
        <w:bidi w:val="0"/>
        <w:rPr>
          <w:rFonts w:hint="default" w:ascii="Times New Roman" w:hAnsi="Times New Roman"/>
          <w:lang w:val="en-US" w:eastAsia="zh-CN"/>
        </w:rPr>
      </w:pPr>
      <w:r>
        <w:rPr>
          <w:rFonts w:hint="default" w:ascii="Times New Roman" w:hAnsi="Times New Roman"/>
          <w:lang w:val="en-US" w:eastAsia="zh-CN"/>
        </w:rPr>
        <w:t>风险控制措施：要求项目单位合理安排债券发行金额和债券期限，做好债券的期限配比、还款计划和资金准备。</w:t>
      </w:r>
    </w:p>
    <w:p w14:paraId="2AE4993C">
      <w:pPr>
        <w:bidi w:val="0"/>
        <w:rPr>
          <w:rFonts w:hint="eastAsia"/>
          <w:lang w:val="en-US" w:eastAsia="zh-CN"/>
        </w:rPr>
      </w:pPr>
      <w:r>
        <w:rPr>
          <w:rFonts w:hint="eastAsia"/>
          <w:lang w:val="en-US" w:eastAsia="zh-CN"/>
        </w:rPr>
        <w:t>3.财务风险</w:t>
      </w:r>
      <w:bookmarkEnd w:id="115"/>
      <w:bookmarkEnd w:id="116"/>
    </w:p>
    <w:p w14:paraId="79D62FBA">
      <w:pPr>
        <w:bidi w:val="0"/>
        <w:rPr>
          <w:rFonts w:hint="default" w:ascii="Times New Roman" w:hAnsi="Times New Roman"/>
          <w:lang w:val="en-US" w:eastAsia="zh-CN"/>
        </w:rPr>
      </w:pPr>
      <w:r>
        <w:rPr>
          <w:rFonts w:hint="default" w:ascii="Times New Roman" w:hAnsi="Times New Roman"/>
          <w:lang w:val="en-US" w:eastAsia="zh-CN"/>
        </w:rPr>
        <w:t>风险识别：由于项目建设周期较长，如果在项目建设过程中，受市场因素影响，项目</w:t>
      </w:r>
      <w:r>
        <w:rPr>
          <w:rFonts w:hint="eastAsia"/>
          <w:lang w:val="en-US" w:eastAsia="zh-CN"/>
        </w:rPr>
        <w:t>建设</w:t>
      </w:r>
      <w:r>
        <w:rPr>
          <w:rFonts w:hint="default" w:ascii="Times New Roman" w:hAnsi="Times New Roman"/>
          <w:lang w:val="en-US" w:eastAsia="zh-CN"/>
        </w:rPr>
        <w:t>所需的原材料</w:t>
      </w:r>
      <w:r>
        <w:rPr>
          <w:rFonts w:hint="eastAsia"/>
          <w:lang w:val="en-US" w:eastAsia="zh-CN"/>
        </w:rPr>
        <w:t>、设备</w:t>
      </w:r>
      <w:r>
        <w:rPr>
          <w:rFonts w:hint="default" w:ascii="Times New Roman" w:hAnsi="Times New Roman"/>
          <w:lang w:val="en-US" w:eastAsia="zh-CN"/>
        </w:rPr>
        <w:t>价格上涨，将导致项目</w:t>
      </w:r>
      <w:r>
        <w:rPr>
          <w:rFonts w:hint="eastAsia"/>
          <w:lang w:val="en-US" w:eastAsia="zh-CN"/>
        </w:rPr>
        <w:t>建设</w:t>
      </w:r>
      <w:r>
        <w:rPr>
          <w:rFonts w:hint="default" w:ascii="Times New Roman" w:hAnsi="Times New Roman"/>
          <w:lang w:val="en-US" w:eastAsia="zh-CN"/>
        </w:rPr>
        <w:t>成本增加，财务负担加重，进而影响项目建设进度，以及项目建设期内专项债券的利息兑付，因此面临一定财务风险。</w:t>
      </w:r>
    </w:p>
    <w:p w14:paraId="783CD9A4">
      <w:pPr>
        <w:bidi w:val="0"/>
        <w:rPr>
          <w:rFonts w:hint="default" w:ascii="Times New Roman" w:hAnsi="Times New Roman"/>
          <w:lang w:val="en-US" w:eastAsia="zh-CN"/>
        </w:rPr>
      </w:pPr>
      <w:r>
        <w:rPr>
          <w:rFonts w:hint="default" w:ascii="Times New Roman" w:hAnsi="Times New Roman"/>
          <w:lang w:val="en-US" w:eastAsia="zh-CN"/>
        </w:rPr>
        <w:t>风险控制措施：项目可行性研究报告编制过程中，在测算项目总投资时已考虑相关风险。同时，在项目建设过程中，加强项目预算管理、招标及合同管理，尽可能控制建设成本。</w:t>
      </w:r>
    </w:p>
    <w:p w14:paraId="32400C8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0"/>
        <w:textAlignment w:val="auto"/>
        <w:outlineLvl w:val="0"/>
        <w:rPr>
          <w:rFonts w:hint="eastAsia" w:eastAsia="黑体"/>
          <w:sz w:val="32"/>
          <w:szCs w:val="32"/>
        </w:rPr>
      </w:pPr>
      <w:r>
        <w:rPr>
          <w:rFonts w:hint="eastAsia" w:eastAsia="黑体"/>
          <w:sz w:val="32"/>
          <w:szCs w:val="32"/>
        </w:rPr>
        <w:t>七、还款保障情况</w:t>
      </w:r>
    </w:p>
    <w:p w14:paraId="7E3FA5EA">
      <w:pPr>
        <w:bidi w:val="0"/>
        <w:rPr>
          <w:rFonts w:hint="eastAsia" w:ascii="Times New Roman" w:hAnsi="Times New Roman"/>
          <w:lang w:eastAsia="zh-CN"/>
        </w:rPr>
      </w:pPr>
      <w:r>
        <w:rPr>
          <w:rFonts w:hint="eastAsia" w:ascii="Times New Roman" w:hAnsi="Times New Roman"/>
          <w:lang w:eastAsia="zh-CN"/>
        </w:rPr>
        <w:t>（一）还款责任及保障</w:t>
      </w:r>
    </w:p>
    <w:p w14:paraId="14055C96">
      <w:pPr>
        <w:bidi w:val="0"/>
        <w:rPr>
          <w:rFonts w:hint="eastAsia" w:ascii="Times New Roman" w:hAnsi="Times New Roman"/>
          <w:lang w:eastAsia="zh-CN"/>
        </w:rPr>
      </w:pPr>
      <w:r>
        <w:rPr>
          <w:rFonts w:hint="eastAsia"/>
          <w:lang w:eastAsia="zh-CN"/>
        </w:rPr>
        <w:t>宁南县</w:t>
      </w:r>
      <w:r>
        <w:rPr>
          <w:rFonts w:hint="eastAsia" w:ascii="Times New Roman" w:hAnsi="Times New Roman"/>
          <w:lang w:eastAsia="zh-CN"/>
        </w:rPr>
        <w:t>财政局：按照《国务院办公厅关于印发地方政府性债务风险应急处置预案的通知》（国办函〔2016〕88号）规定，本级政府对地方政府债券依法承担全部偿还责任。本级财政将按照《财政部关于印发〈地方政府专项债务预算管理办法〉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595288DF">
      <w:pPr>
        <w:bidi w:val="0"/>
        <w:rPr>
          <w:rFonts w:hint="eastAsia" w:ascii="Times New Roman" w:hAnsi="Times New Roman"/>
          <w:lang w:eastAsia="zh-CN"/>
        </w:rPr>
      </w:pPr>
      <w:r>
        <w:rPr>
          <w:rFonts w:hint="eastAsia" w:ascii="Times New Roman" w:hAnsi="Times New Roman"/>
          <w:lang w:eastAsia="zh-CN"/>
        </w:rPr>
        <w:t>主管部门：主管部门应督促项目单位做好运营管理工作，保障项目正常运营并取得经营收入，及时将项目收益上缴至财政，如果本项目的收益不足以偿还当年债券的本息，财政局有权扣收主管部门的经费。</w:t>
      </w:r>
    </w:p>
    <w:p w14:paraId="07019A71">
      <w:pPr>
        <w:bidi w:val="0"/>
        <w:rPr>
          <w:rFonts w:hint="eastAsia" w:ascii="Times New Roman" w:hAnsi="Times New Roman"/>
          <w:highlight w:val="none"/>
          <w:lang w:eastAsia="zh-CN"/>
        </w:rPr>
      </w:pPr>
      <w:r>
        <w:rPr>
          <w:rFonts w:hint="eastAsia" w:ascii="Times New Roman" w:hAnsi="Times New Roman"/>
          <w:highlight w:val="none"/>
          <w:lang w:eastAsia="zh-CN"/>
        </w:rPr>
        <w:t>项目单位：本项目业主单位为</w:t>
      </w:r>
      <w:r>
        <w:rPr>
          <w:rFonts w:hint="eastAsia"/>
          <w:highlight w:val="none"/>
          <w:lang w:eastAsia="zh-CN"/>
        </w:rPr>
        <w:t>宁南县教育和体育局</w:t>
      </w:r>
      <w:r>
        <w:rPr>
          <w:rFonts w:hint="eastAsia" w:ascii="Times New Roman" w:hAnsi="Times New Roman"/>
          <w:highlight w:val="none"/>
          <w:lang w:eastAsia="zh-CN"/>
        </w:rPr>
        <w:t>，项目运营期间由</w:t>
      </w:r>
      <w:r>
        <w:rPr>
          <w:rFonts w:hint="eastAsia"/>
          <w:highlight w:val="none"/>
          <w:lang w:eastAsia="zh-CN"/>
        </w:rPr>
        <w:t>宁南县教育和体育局</w:t>
      </w:r>
      <w:r>
        <w:rPr>
          <w:rFonts w:hint="eastAsia"/>
          <w:highlight w:val="none"/>
          <w:lang w:val="en-US" w:eastAsia="zh-CN"/>
        </w:rPr>
        <w:t>委托有运营资质的国有企业宁南县国有资产经营管理有限责任公司进行运营，项目所有收益由宁南县国有资产经营管理有限责任公司收取并</w:t>
      </w:r>
      <w:r>
        <w:rPr>
          <w:rFonts w:hint="eastAsia" w:ascii="Times New Roman" w:hAnsi="Times New Roman"/>
          <w:highlight w:val="none"/>
          <w:lang w:eastAsia="zh-CN"/>
        </w:rPr>
        <w:t>全部上缴至</w:t>
      </w:r>
      <w:r>
        <w:rPr>
          <w:rFonts w:hint="eastAsia"/>
          <w:highlight w:val="none"/>
          <w:lang w:eastAsia="zh-CN"/>
        </w:rPr>
        <w:t>宁南县</w:t>
      </w:r>
      <w:r>
        <w:rPr>
          <w:rFonts w:hint="eastAsia" w:ascii="Times New Roman" w:hAnsi="Times New Roman"/>
          <w:highlight w:val="none"/>
          <w:lang w:eastAsia="zh-CN"/>
        </w:rPr>
        <w:t>财政局，用于该项目还本付息。如果本项目的收益不足以偿还当年债券的本息，财政局有权扣收</w:t>
      </w:r>
      <w:r>
        <w:rPr>
          <w:rFonts w:hint="eastAsia"/>
          <w:highlight w:val="none"/>
          <w:lang w:val="en-US" w:eastAsia="zh-CN"/>
        </w:rPr>
        <w:t>项目单位</w:t>
      </w:r>
      <w:r>
        <w:rPr>
          <w:rFonts w:hint="eastAsia" w:ascii="Times New Roman" w:hAnsi="Times New Roman"/>
          <w:highlight w:val="none"/>
          <w:lang w:eastAsia="zh-CN"/>
        </w:rPr>
        <w:t>的经费。</w:t>
      </w:r>
    </w:p>
    <w:p w14:paraId="1ACAA38A">
      <w:pPr>
        <w:bidi w:val="0"/>
        <w:rPr>
          <w:rFonts w:hint="eastAsia" w:ascii="Times New Roman" w:hAnsi="Times New Roman"/>
          <w:lang w:eastAsia="zh-CN"/>
        </w:rPr>
      </w:pPr>
      <w:r>
        <w:rPr>
          <w:rFonts w:hint="eastAsia" w:ascii="Times New Roman" w:hAnsi="Times New Roman"/>
          <w:lang w:eastAsia="zh-CN"/>
        </w:rPr>
        <w:t>（二）项目资产管理</w:t>
      </w:r>
    </w:p>
    <w:p w14:paraId="6993C44D">
      <w:pPr>
        <w:bidi w:val="0"/>
        <w:rPr>
          <w:rFonts w:hint="eastAsia" w:ascii="Times New Roman" w:hAnsi="Times New Roman"/>
          <w:lang w:eastAsia="zh-CN"/>
        </w:rPr>
      </w:pPr>
      <w:r>
        <w:rPr>
          <w:rFonts w:hint="eastAsia" w:ascii="Times New Roman" w:hAnsi="Times New Roman"/>
          <w:lang w:eastAsia="zh-CN"/>
        </w:rPr>
        <w:t>当前项目资产权属清晰，不存在任何抵押或担保。在债券存续期间，定期对项目资产进行检查和盘点。在本项目全部债券还本付息完成前，项目资产不会进行任何抵押或担保等影响本项目权益的风险操作。</w:t>
      </w:r>
    </w:p>
    <w:p w14:paraId="3E26F277">
      <w:pPr>
        <w:ind w:firstLine="562"/>
        <w:rPr>
          <w:rFonts w:hint="default" w:ascii="Times New Roman" w:hAnsi="Times New Roman" w:eastAsia="仿宋" w:cs="Times New Roman"/>
          <w:color w:val="auto"/>
          <w:szCs w:val="28"/>
          <w:highlight w:val="none"/>
        </w:rPr>
      </w:pPr>
      <w:r>
        <w:rPr>
          <w:rFonts w:hint="default" w:ascii="Times New Roman" w:hAnsi="Times New Roman" w:eastAsia="仿宋" w:cs="Times New Roman"/>
          <w:color w:val="auto"/>
          <w:szCs w:val="28"/>
          <w:highlight w:val="none"/>
        </w:rPr>
        <w:t>（三）项目收入管理</w:t>
      </w:r>
    </w:p>
    <w:p w14:paraId="3DE61ADD">
      <w:pPr>
        <w:ind w:firstLine="562"/>
        <w:rPr>
          <w:rFonts w:hint="default" w:ascii="Times New Roman" w:hAnsi="Times New Roman" w:eastAsia="仿宋" w:cs="Times New Roman"/>
          <w:color w:val="auto"/>
          <w:szCs w:val="28"/>
          <w:highlight w:val="none"/>
        </w:rPr>
      </w:pPr>
      <w:r>
        <w:rPr>
          <w:rFonts w:hint="default" w:ascii="Times New Roman" w:hAnsi="Times New Roman" w:eastAsia="仿宋" w:cs="Times New Roman"/>
          <w:color w:val="auto"/>
          <w:szCs w:val="28"/>
          <w:highlight w:val="none"/>
        </w:rPr>
        <w:t>按时完成项目建设，及时实现项目收入，保障项目按时进行债券还本付息。严格管理项目收入，杜绝通过第三方转移收入。在例行审计之外，项目业主须不定期对项目收入进行内部审计，以保证专款专用，落实对于债权人的承诺。</w:t>
      </w:r>
    </w:p>
    <w:p w14:paraId="76A240FA">
      <w:pPr>
        <w:ind w:firstLine="562"/>
        <w:rPr>
          <w:rFonts w:hint="default" w:ascii="Times New Roman" w:hAnsi="Times New Roman" w:eastAsia="仿宋" w:cs="Times New Roman"/>
          <w:color w:val="auto"/>
          <w:szCs w:val="28"/>
          <w:highlight w:val="none"/>
        </w:rPr>
      </w:pPr>
      <w:r>
        <w:rPr>
          <w:rFonts w:hint="default" w:ascii="Times New Roman" w:hAnsi="Times New Roman" w:eastAsia="仿宋" w:cs="Times New Roman"/>
          <w:color w:val="auto"/>
          <w:szCs w:val="28"/>
          <w:highlight w:val="none"/>
        </w:rPr>
        <w:t>（四）资金管理方案</w:t>
      </w:r>
    </w:p>
    <w:p w14:paraId="04AB9BC5">
      <w:pPr>
        <w:ind w:firstLine="562"/>
        <w:rPr>
          <w:rFonts w:hint="default" w:ascii="Times New Roman" w:hAnsi="Times New Roman" w:eastAsia="仿宋" w:cs="Times New Roman"/>
          <w:color w:val="auto"/>
          <w:szCs w:val="28"/>
          <w:highlight w:val="none"/>
        </w:rPr>
      </w:pPr>
      <w:r>
        <w:rPr>
          <w:rFonts w:hint="default" w:ascii="Times New Roman" w:hAnsi="Times New Roman" w:eastAsia="仿宋" w:cs="Times New Roman"/>
          <w:color w:val="auto"/>
          <w:szCs w:val="28"/>
          <w:highlight w:val="none"/>
        </w:rPr>
        <w:t>1.资金流入管理</w:t>
      </w:r>
    </w:p>
    <w:p w14:paraId="67BF214A">
      <w:pPr>
        <w:ind w:firstLine="562"/>
        <w:rPr>
          <w:rFonts w:hint="default" w:ascii="Times New Roman" w:hAnsi="Times New Roman" w:eastAsia="仿宋" w:cs="Times New Roman"/>
          <w:color w:val="auto"/>
          <w:szCs w:val="28"/>
          <w:highlight w:val="none"/>
        </w:rPr>
      </w:pPr>
      <w:r>
        <w:rPr>
          <w:rFonts w:hint="default" w:ascii="Times New Roman" w:hAnsi="Times New Roman" w:eastAsia="仿宋" w:cs="Times New Roman"/>
          <w:color w:val="auto"/>
          <w:szCs w:val="28"/>
          <w:highlight w:val="none"/>
        </w:rPr>
        <w:t>项目资金流入主要包括资本金、债券资金和项目收入流入。本项目资本金来源于财政预算安排资金。每年及时按要求申报财政预算，使本项目资本金需求纳入财政预算安排。对于审批通过的项目资本金，严格按资金需求进度进行支付。本项目专项债券资金由地方财政部门统一管理。本项目收入专款专用，用于本项目债券本息的偿付。</w:t>
      </w:r>
    </w:p>
    <w:p w14:paraId="6732C83F">
      <w:pPr>
        <w:ind w:firstLine="562"/>
        <w:rPr>
          <w:rFonts w:hint="default" w:ascii="Times New Roman" w:hAnsi="Times New Roman" w:eastAsia="仿宋" w:cs="Times New Roman"/>
          <w:color w:val="auto"/>
          <w:szCs w:val="28"/>
          <w:highlight w:val="none"/>
        </w:rPr>
      </w:pPr>
      <w:r>
        <w:rPr>
          <w:rFonts w:hint="default" w:ascii="Times New Roman" w:hAnsi="Times New Roman" w:eastAsia="仿宋" w:cs="Times New Roman"/>
          <w:color w:val="auto"/>
          <w:szCs w:val="28"/>
          <w:highlight w:val="none"/>
        </w:rPr>
        <w:t>2.资金流出管理</w:t>
      </w:r>
    </w:p>
    <w:p w14:paraId="5FC0109B">
      <w:pPr>
        <w:bidi w:val="0"/>
        <w:rPr>
          <w:rFonts w:hint="eastAsia" w:ascii="Times New Roman" w:hAnsi="Times New Roman"/>
          <w:lang w:eastAsia="zh-CN"/>
        </w:rPr>
      </w:pPr>
      <w:r>
        <w:rPr>
          <w:rFonts w:hint="default" w:ascii="Times New Roman" w:hAnsi="Times New Roman" w:eastAsia="仿宋" w:cs="Times New Roman"/>
          <w:color w:val="auto"/>
          <w:szCs w:val="28"/>
          <w:highlight w:val="none"/>
        </w:rPr>
        <w:t>本项目资金流出主要包括项目建设投资支出、债券本息偿付和项目运营成本。关于项目建设投资支出，负责项目建设的单位按照进度提出申请，并报送相关要件，审核后拨付。关于债券本息偿付，由地方财政部门组织准备需要到期支付的债券本息，并由财政部门逐级向省财政缴纳本期应当承担的还本付息资金。运营成本严格计划支出，预算外支出及时完成设计变更，财政评审后上报审批。</w:t>
      </w:r>
    </w:p>
    <w:p w14:paraId="0B4E3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0"/>
        <w:textAlignment w:val="auto"/>
        <w:outlineLvl w:val="0"/>
        <w:rPr>
          <w:rFonts w:hint="eastAsia" w:eastAsia="黑体"/>
          <w:b w:val="0"/>
          <w:bCs w:val="0"/>
          <w:sz w:val="32"/>
          <w:szCs w:val="32"/>
          <w:u w:val="none"/>
        </w:rPr>
      </w:pPr>
      <w:r>
        <w:rPr>
          <w:rFonts w:hint="eastAsia" w:eastAsia="黑体"/>
          <w:b w:val="0"/>
          <w:bCs w:val="0"/>
          <w:sz w:val="32"/>
          <w:szCs w:val="32"/>
          <w:u w:val="none"/>
        </w:rPr>
        <w:t>八、主管部门</w:t>
      </w:r>
      <w:r>
        <w:rPr>
          <w:rFonts w:hint="eastAsia" w:eastAsia="黑体"/>
          <w:b w:val="0"/>
          <w:bCs w:val="0"/>
          <w:sz w:val="32"/>
          <w:szCs w:val="32"/>
          <w:u w:val="none"/>
          <w:lang w:val="en-US" w:eastAsia="zh-CN"/>
        </w:rPr>
        <w:t>和</w:t>
      </w:r>
      <w:r>
        <w:rPr>
          <w:rFonts w:hint="eastAsia" w:eastAsia="黑体"/>
          <w:b w:val="0"/>
          <w:bCs w:val="0"/>
          <w:sz w:val="32"/>
          <w:szCs w:val="32"/>
          <w:u w:val="none"/>
        </w:rPr>
        <w:t>项目单位职责</w:t>
      </w:r>
    </w:p>
    <w:p w14:paraId="633F0C8D">
      <w:pPr>
        <w:bidi w:val="0"/>
        <w:rPr>
          <w:rFonts w:hint="eastAsia"/>
          <w:lang w:eastAsia="zh-CN"/>
        </w:rPr>
      </w:pPr>
      <w:r>
        <w:rPr>
          <w:rFonts w:hint="eastAsia"/>
          <w:b/>
          <w:bCs/>
          <w:u w:val="single"/>
          <w:lang w:val="en-US" w:eastAsia="zh-CN"/>
        </w:rPr>
        <w:t>宁南县智慧教育建设项目</w:t>
      </w:r>
      <w:r>
        <w:rPr>
          <w:rFonts w:hint="eastAsia"/>
          <w:b w:val="0"/>
          <w:bCs w:val="0"/>
          <w:u w:val="none"/>
          <w:lang w:eastAsia="zh-CN"/>
        </w:rPr>
        <w:t>的主</w:t>
      </w:r>
      <w:r>
        <w:rPr>
          <w:rFonts w:hint="eastAsia"/>
          <w:lang w:eastAsia="zh-CN"/>
        </w:rPr>
        <w:t>管部门为</w:t>
      </w:r>
      <w:r>
        <w:rPr>
          <w:rFonts w:hint="eastAsia"/>
          <w:b/>
          <w:bCs/>
          <w:u w:val="single"/>
          <w:lang w:val="en-US" w:eastAsia="zh-CN"/>
        </w:rPr>
        <w:t>宁南县发展和改革局</w:t>
      </w:r>
      <w:r>
        <w:rPr>
          <w:rFonts w:hint="eastAsia"/>
          <w:lang w:eastAsia="zh-CN"/>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督。</w:t>
      </w:r>
    </w:p>
    <w:p w14:paraId="4C2F573D">
      <w:pPr>
        <w:bidi w:val="0"/>
        <w:rPr>
          <w:rFonts w:hint="eastAsia" w:eastAsia="仿宋"/>
          <w:lang w:eastAsia="zh-CN"/>
        </w:rPr>
      </w:pPr>
      <w:r>
        <w:rPr>
          <w:rFonts w:hint="eastAsia"/>
          <w:lang w:eastAsia="zh-CN"/>
        </w:rPr>
        <w:t>本项目</w:t>
      </w:r>
      <w:r>
        <w:rPr>
          <w:rFonts w:hint="eastAsia"/>
          <w:lang w:val="en-US" w:eastAsia="zh-CN"/>
        </w:rPr>
        <w:t>业主</w:t>
      </w:r>
      <w:r>
        <w:rPr>
          <w:rFonts w:hint="eastAsia"/>
          <w:lang w:eastAsia="zh-CN"/>
        </w:rPr>
        <w:t>单位为</w:t>
      </w:r>
      <w:r>
        <w:rPr>
          <w:rFonts w:hint="eastAsia"/>
          <w:b/>
          <w:bCs/>
          <w:u w:val="single"/>
          <w:lang w:val="en-US" w:eastAsia="zh-CN"/>
        </w:rPr>
        <w:t>宁南县教育和体育局</w:t>
      </w:r>
      <w:r>
        <w:rPr>
          <w:rFonts w:hint="eastAsia"/>
          <w:lang w:eastAsia="zh-CN"/>
        </w:rPr>
        <w:t>，项目由宁南县教育和体育局委托有资质的国有企业宁南县国有资产经营管理有限责任公司运营，宁南县发展和改革局对项目运营进行监管，保障项目资产在债券存续期内均能得到有效的使用和管理，发挥项目应有的公益性和经济性，按预期实现项目收益，保障专项债的还本付息。运营期资金实行统一管理，由财务单独立帐、核算，资金使用严格按计划进行，并接受上级有关部门的监督和检查。</w:t>
      </w:r>
      <w:r>
        <w:rPr>
          <w:rFonts w:hint="eastAsia"/>
          <w:lang w:val="en-US" w:eastAsia="zh-CN"/>
        </w:rPr>
        <w:t>运营</w:t>
      </w:r>
      <w:r>
        <w:rPr>
          <w:rFonts w:hint="eastAsia"/>
          <w:lang w:eastAsia="zh-CN"/>
        </w:rPr>
        <w:t>单位强化企业管理，创建现代化管理模式，从细节上规范、约束企业，使企业的管理体制逐步走上科学化的轨道，创造较好的企业效益和社会效益。从管理、技术、安全、生产等四个方面细化业务流程和标准，量化考核指标。通过推行精、准的规范和加强细、严的控制，运用科学管理方法和科技手段，全面推进项目规范化管理升级。项目单位认真分析有关单价变化的政策，不断挖掘项目自身的开发潜力，有效规避市场风险。抓好经营工作，实现互利共赢和取得良好的经济效益。运营单位做好记账、核算等基础工作，正确、及时、全面、真实地反映企业的经济活动，财产资金变化、成本费用开支和经营成果。通过建立和健全各种手续制度，如实反映资金活动的情况，按期进行财产清查，做到账账相符、账实相符。通过会计信息，不断改善经营管理，促进企业合理使用资金，降低费用水平，提高经济效益。</w:t>
      </w:r>
    </w:p>
    <w:p w14:paraId="3D8AA1B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0"/>
        <w:textAlignment w:val="auto"/>
        <w:outlineLvl w:val="0"/>
        <w:rPr>
          <w:rFonts w:hint="eastAsia" w:eastAsia="黑体"/>
          <w:sz w:val="32"/>
          <w:szCs w:val="32"/>
        </w:rPr>
      </w:pPr>
      <w:r>
        <w:rPr>
          <w:rFonts w:hint="eastAsia" w:eastAsia="黑体"/>
          <w:sz w:val="32"/>
          <w:szCs w:val="32"/>
        </w:rPr>
        <w:t>九</w:t>
      </w:r>
      <w:r>
        <w:rPr>
          <w:rFonts w:hint="eastAsia" w:eastAsia="黑体"/>
          <w:sz w:val="32"/>
          <w:szCs w:val="32"/>
          <w:lang w:eastAsia="zh-CN"/>
        </w:rPr>
        <w:t>、</w:t>
      </w:r>
      <w:r>
        <w:rPr>
          <w:rFonts w:hint="eastAsia" w:eastAsia="黑体"/>
          <w:sz w:val="32"/>
          <w:szCs w:val="32"/>
        </w:rPr>
        <w:t>补充说明</w:t>
      </w:r>
    </w:p>
    <w:p w14:paraId="32754DAF">
      <w:pPr>
        <w:bidi w:val="0"/>
        <w:rPr>
          <w:rFonts w:hint="eastAsia"/>
          <w:highlight w:val="none"/>
        </w:rPr>
      </w:pPr>
      <w:r>
        <w:rPr>
          <w:rFonts w:hint="eastAsia"/>
          <w:highlight w:val="none"/>
        </w:rPr>
        <w:t>根据发行计划及额度安排</w:t>
      </w:r>
      <w:r>
        <w:rPr>
          <w:rFonts w:hint="eastAsia"/>
          <w:highlight w:val="none"/>
          <w:lang w:eastAsia="zh-CN"/>
        </w:rPr>
        <w:t>，</w:t>
      </w:r>
      <w:r>
        <w:rPr>
          <w:rFonts w:hint="eastAsia"/>
          <w:highlight w:val="none"/>
          <w:lang w:val="en-US" w:eastAsia="zh-CN"/>
        </w:rPr>
        <w:t>本</w:t>
      </w:r>
      <w:r>
        <w:rPr>
          <w:rFonts w:hint="eastAsia"/>
          <w:highlight w:val="none"/>
        </w:rPr>
        <w:t>项目202</w:t>
      </w:r>
      <w:r>
        <w:rPr>
          <w:rFonts w:hint="eastAsia"/>
          <w:highlight w:val="none"/>
          <w:lang w:val="en-US" w:eastAsia="zh-CN"/>
        </w:rPr>
        <w:t>6</w:t>
      </w:r>
      <w:r>
        <w:rPr>
          <w:rFonts w:hint="eastAsia"/>
          <w:highlight w:val="none"/>
        </w:rPr>
        <w:t>年拟申请发行</w:t>
      </w:r>
      <w:r>
        <w:rPr>
          <w:rFonts w:hint="eastAsia"/>
          <w:highlight w:val="none"/>
          <w:lang w:val="en-US" w:eastAsia="zh-CN"/>
        </w:rPr>
        <w:t>3500.00</w:t>
      </w:r>
      <w:r>
        <w:rPr>
          <w:rFonts w:hint="eastAsia"/>
          <w:highlight w:val="none"/>
        </w:rPr>
        <w:t>万元，本次拟发行</w:t>
      </w:r>
      <w:r>
        <w:rPr>
          <w:rFonts w:hint="eastAsia"/>
          <w:highlight w:val="none"/>
          <w:lang w:val="en-US" w:eastAsia="zh-CN"/>
        </w:rPr>
        <w:t>2100.00</w:t>
      </w:r>
      <w:r>
        <w:rPr>
          <w:rFonts w:hint="eastAsia"/>
          <w:highlight w:val="none"/>
        </w:rPr>
        <w:t>万元。</w:t>
      </w:r>
      <w:bookmarkStart w:id="117" w:name="_GoBack"/>
      <w:bookmarkEnd w:id="117"/>
    </w:p>
    <w:p w14:paraId="797ECE36">
      <w:pPr>
        <w:bidi w:val="0"/>
        <w:rPr>
          <w:rFonts w:hint="eastAsia"/>
          <w:lang w:val="en-US" w:eastAsia="zh-CN"/>
        </w:rPr>
      </w:pPr>
    </w:p>
    <w:sectPr>
      <w:headerReference r:id="rId7" w:type="default"/>
      <w:pgSz w:w="11906" w:h="16838"/>
      <w:pgMar w:top="1644" w:right="2098" w:bottom="1417"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LF_Kai">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Univers 45 Light">
    <w:altName w:val="Courier New"/>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D88C0">
    <w:pPr>
      <w:pStyle w:val="12"/>
      <w:ind w:firstLine="360"/>
      <w:jc w:val="center"/>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D96B9">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3BD96B9">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CB575">
    <w:pPr>
      <w:pStyle w:val="13"/>
      <w:pBdr>
        <w:bottom w:val="none" w:color="auto" w:sz="0" w:space="0"/>
      </w:pBdr>
      <w:tabs>
        <w:tab w:val="center" w:pos="4150"/>
        <w:tab w:val="right" w:pos="8300"/>
        <w:tab w:val="clear" w:pos="4153"/>
        <w:tab w:val="clear" w:pos="8306"/>
      </w:tabs>
      <w:spacing w:line="240" w:lineRule="auto"/>
      <w:ind w:firstLine="0" w:firstLineChars="0"/>
    </w:pPr>
  </w:p>
  <w:p w14:paraId="7FB26972">
    <w:pPr>
      <w:spacing w:line="240" w:lineRule="auto"/>
      <w:ind w:firstLine="0" w:firstLineChars="0"/>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5626E">
    <w:pPr>
      <w:pStyle w:val="13"/>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BB45B"/>
    <w:multiLevelType w:val="singleLevel"/>
    <w:tmpl w:val="920BB45B"/>
    <w:lvl w:ilvl="0" w:tentative="0">
      <w:start w:val="2"/>
      <w:numFmt w:val="decimal"/>
      <w:lvlText w:val="%1."/>
      <w:lvlJc w:val="left"/>
      <w:pPr>
        <w:tabs>
          <w:tab w:val="left" w:pos="312"/>
        </w:tabs>
      </w:pPr>
    </w:lvl>
  </w:abstractNum>
  <w:abstractNum w:abstractNumId="1">
    <w:nsid w:val="729C3E79"/>
    <w:multiLevelType w:val="singleLevel"/>
    <w:tmpl w:val="729C3E79"/>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mZTVjYjdiZjFlOTBmMTY4ZTNhZjM5NjViOTYyYWQifQ=="/>
  </w:docVars>
  <w:rsids>
    <w:rsidRoot w:val="3FA016BB"/>
    <w:rsid w:val="000665A4"/>
    <w:rsid w:val="00E10BB4"/>
    <w:rsid w:val="010334B8"/>
    <w:rsid w:val="010351AA"/>
    <w:rsid w:val="016478F4"/>
    <w:rsid w:val="0224187C"/>
    <w:rsid w:val="0256755B"/>
    <w:rsid w:val="038E48FB"/>
    <w:rsid w:val="039830F1"/>
    <w:rsid w:val="04170001"/>
    <w:rsid w:val="04245197"/>
    <w:rsid w:val="04675D48"/>
    <w:rsid w:val="04806B11"/>
    <w:rsid w:val="04D74F48"/>
    <w:rsid w:val="04F574FF"/>
    <w:rsid w:val="05172669"/>
    <w:rsid w:val="05546002"/>
    <w:rsid w:val="05EF3016"/>
    <w:rsid w:val="05FD78CF"/>
    <w:rsid w:val="06493CDF"/>
    <w:rsid w:val="06502C30"/>
    <w:rsid w:val="068F1D94"/>
    <w:rsid w:val="076269AA"/>
    <w:rsid w:val="07937179"/>
    <w:rsid w:val="07C879D4"/>
    <w:rsid w:val="08530FA4"/>
    <w:rsid w:val="089B260D"/>
    <w:rsid w:val="08FB6ACC"/>
    <w:rsid w:val="091905A8"/>
    <w:rsid w:val="09550CC1"/>
    <w:rsid w:val="09EA50CF"/>
    <w:rsid w:val="0A93387B"/>
    <w:rsid w:val="0A956499"/>
    <w:rsid w:val="0AA43604"/>
    <w:rsid w:val="0B856175"/>
    <w:rsid w:val="0B987394"/>
    <w:rsid w:val="0BA83509"/>
    <w:rsid w:val="0C360518"/>
    <w:rsid w:val="0CA710DF"/>
    <w:rsid w:val="0CA8257D"/>
    <w:rsid w:val="0CD57CD4"/>
    <w:rsid w:val="0CDE1C2A"/>
    <w:rsid w:val="0D03664E"/>
    <w:rsid w:val="0D621D65"/>
    <w:rsid w:val="0D7445F1"/>
    <w:rsid w:val="0D773C1E"/>
    <w:rsid w:val="0DB04313"/>
    <w:rsid w:val="0DE12751"/>
    <w:rsid w:val="0E1A32D2"/>
    <w:rsid w:val="0E477802"/>
    <w:rsid w:val="0E942516"/>
    <w:rsid w:val="0E94387A"/>
    <w:rsid w:val="0F363083"/>
    <w:rsid w:val="0F3E2226"/>
    <w:rsid w:val="0F517AD4"/>
    <w:rsid w:val="0FF21238"/>
    <w:rsid w:val="0FFD3396"/>
    <w:rsid w:val="10453240"/>
    <w:rsid w:val="105313B8"/>
    <w:rsid w:val="10631292"/>
    <w:rsid w:val="10F677E1"/>
    <w:rsid w:val="11050ACA"/>
    <w:rsid w:val="111B3927"/>
    <w:rsid w:val="11766E35"/>
    <w:rsid w:val="11AF0294"/>
    <w:rsid w:val="11C56838"/>
    <w:rsid w:val="120344D0"/>
    <w:rsid w:val="12040D82"/>
    <w:rsid w:val="1270704D"/>
    <w:rsid w:val="130325B1"/>
    <w:rsid w:val="13771DFE"/>
    <w:rsid w:val="13A1169C"/>
    <w:rsid w:val="13B77695"/>
    <w:rsid w:val="13EA3F76"/>
    <w:rsid w:val="14042D10"/>
    <w:rsid w:val="143E3DC5"/>
    <w:rsid w:val="14F86A77"/>
    <w:rsid w:val="152715FF"/>
    <w:rsid w:val="16164F19"/>
    <w:rsid w:val="16435794"/>
    <w:rsid w:val="16BE3AB0"/>
    <w:rsid w:val="17212C62"/>
    <w:rsid w:val="172F4118"/>
    <w:rsid w:val="17316D8F"/>
    <w:rsid w:val="173939AE"/>
    <w:rsid w:val="178E7A6B"/>
    <w:rsid w:val="1825554A"/>
    <w:rsid w:val="182E558C"/>
    <w:rsid w:val="18553EC6"/>
    <w:rsid w:val="19524380"/>
    <w:rsid w:val="195B607F"/>
    <w:rsid w:val="195E1DF7"/>
    <w:rsid w:val="19A6314E"/>
    <w:rsid w:val="1A754BDF"/>
    <w:rsid w:val="1A8D4E1F"/>
    <w:rsid w:val="1A9322E0"/>
    <w:rsid w:val="1AC474F7"/>
    <w:rsid w:val="1AE656AA"/>
    <w:rsid w:val="1B097409"/>
    <w:rsid w:val="1B9836F8"/>
    <w:rsid w:val="1BC4709A"/>
    <w:rsid w:val="1C3F69E4"/>
    <w:rsid w:val="1D754862"/>
    <w:rsid w:val="1F64483C"/>
    <w:rsid w:val="1F7252E7"/>
    <w:rsid w:val="1F880A4A"/>
    <w:rsid w:val="1FBA6C9A"/>
    <w:rsid w:val="1FDF1459"/>
    <w:rsid w:val="20250841"/>
    <w:rsid w:val="204A0B08"/>
    <w:rsid w:val="20702F46"/>
    <w:rsid w:val="20795DD4"/>
    <w:rsid w:val="209E0592"/>
    <w:rsid w:val="2136458B"/>
    <w:rsid w:val="21997D01"/>
    <w:rsid w:val="21F80F4C"/>
    <w:rsid w:val="22105341"/>
    <w:rsid w:val="221819BC"/>
    <w:rsid w:val="22B921FD"/>
    <w:rsid w:val="2357078B"/>
    <w:rsid w:val="23A26BFF"/>
    <w:rsid w:val="23F132B7"/>
    <w:rsid w:val="24F2272A"/>
    <w:rsid w:val="250E6BFE"/>
    <w:rsid w:val="25157333"/>
    <w:rsid w:val="253463B3"/>
    <w:rsid w:val="256A366E"/>
    <w:rsid w:val="259322B4"/>
    <w:rsid w:val="2650731B"/>
    <w:rsid w:val="26525407"/>
    <w:rsid w:val="267B086F"/>
    <w:rsid w:val="26A91DFC"/>
    <w:rsid w:val="27107A96"/>
    <w:rsid w:val="27295BCD"/>
    <w:rsid w:val="27436AB5"/>
    <w:rsid w:val="27D74A6C"/>
    <w:rsid w:val="28233866"/>
    <w:rsid w:val="28801A02"/>
    <w:rsid w:val="28AE36FF"/>
    <w:rsid w:val="28B66659"/>
    <w:rsid w:val="28C433F0"/>
    <w:rsid w:val="29A504DF"/>
    <w:rsid w:val="29A86EB2"/>
    <w:rsid w:val="29AA0009"/>
    <w:rsid w:val="29BB1EFE"/>
    <w:rsid w:val="2A2420B3"/>
    <w:rsid w:val="2A552882"/>
    <w:rsid w:val="2A685EFA"/>
    <w:rsid w:val="2A6A23D2"/>
    <w:rsid w:val="2A760322"/>
    <w:rsid w:val="2AF6240B"/>
    <w:rsid w:val="2B226752"/>
    <w:rsid w:val="2B623CB8"/>
    <w:rsid w:val="2B9B099A"/>
    <w:rsid w:val="2C842D93"/>
    <w:rsid w:val="2D025963"/>
    <w:rsid w:val="2E4722CA"/>
    <w:rsid w:val="2EFD028C"/>
    <w:rsid w:val="2F44049C"/>
    <w:rsid w:val="2F6914B3"/>
    <w:rsid w:val="2F75131F"/>
    <w:rsid w:val="2F7B66D0"/>
    <w:rsid w:val="2F863403"/>
    <w:rsid w:val="2FB674D6"/>
    <w:rsid w:val="2FD0227E"/>
    <w:rsid w:val="30E16FF1"/>
    <w:rsid w:val="31321010"/>
    <w:rsid w:val="318252FC"/>
    <w:rsid w:val="31D26043"/>
    <w:rsid w:val="323B26F8"/>
    <w:rsid w:val="324B460B"/>
    <w:rsid w:val="329365A6"/>
    <w:rsid w:val="329F440E"/>
    <w:rsid w:val="32D873B2"/>
    <w:rsid w:val="330B754D"/>
    <w:rsid w:val="331E22B4"/>
    <w:rsid w:val="335C6052"/>
    <w:rsid w:val="33C2127A"/>
    <w:rsid w:val="33C643FD"/>
    <w:rsid w:val="34DA42C5"/>
    <w:rsid w:val="35DC570E"/>
    <w:rsid w:val="364C0923"/>
    <w:rsid w:val="37271146"/>
    <w:rsid w:val="375354EA"/>
    <w:rsid w:val="375548D2"/>
    <w:rsid w:val="375B7588"/>
    <w:rsid w:val="37867FBA"/>
    <w:rsid w:val="37893F99"/>
    <w:rsid w:val="37A1443C"/>
    <w:rsid w:val="37BC7880"/>
    <w:rsid w:val="37BE2D84"/>
    <w:rsid w:val="37DF7408"/>
    <w:rsid w:val="37F012DD"/>
    <w:rsid w:val="3824159C"/>
    <w:rsid w:val="383E555A"/>
    <w:rsid w:val="385A7AE2"/>
    <w:rsid w:val="38D429AD"/>
    <w:rsid w:val="38EA68D2"/>
    <w:rsid w:val="39006C13"/>
    <w:rsid w:val="39484E09"/>
    <w:rsid w:val="3987236F"/>
    <w:rsid w:val="39A84565"/>
    <w:rsid w:val="3A2B507B"/>
    <w:rsid w:val="3A6C2183"/>
    <w:rsid w:val="3A7A7584"/>
    <w:rsid w:val="3A970136"/>
    <w:rsid w:val="3AD2116E"/>
    <w:rsid w:val="3AF173C3"/>
    <w:rsid w:val="3B016665"/>
    <w:rsid w:val="3B514E5E"/>
    <w:rsid w:val="3B70502D"/>
    <w:rsid w:val="3BB014AF"/>
    <w:rsid w:val="3C2E5791"/>
    <w:rsid w:val="3C6837B2"/>
    <w:rsid w:val="3D7B47CB"/>
    <w:rsid w:val="3E087955"/>
    <w:rsid w:val="3EE86FC3"/>
    <w:rsid w:val="3EF23035"/>
    <w:rsid w:val="3F3408B1"/>
    <w:rsid w:val="3F4123FE"/>
    <w:rsid w:val="3FA016BB"/>
    <w:rsid w:val="3FBF3121"/>
    <w:rsid w:val="3FE947AA"/>
    <w:rsid w:val="405C0C68"/>
    <w:rsid w:val="40FF1BB1"/>
    <w:rsid w:val="41456AA2"/>
    <w:rsid w:val="41B30E75"/>
    <w:rsid w:val="41DD45C3"/>
    <w:rsid w:val="428E5B40"/>
    <w:rsid w:val="42E85458"/>
    <w:rsid w:val="42F44377"/>
    <w:rsid w:val="43081669"/>
    <w:rsid w:val="433C4B7C"/>
    <w:rsid w:val="43821C24"/>
    <w:rsid w:val="43853C3C"/>
    <w:rsid w:val="43A12CD7"/>
    <w:rsid w:val="4586581D"/>
    <w:rsid w:val="45C938B6"/>
    <w:rsid w:val="45F33215"/>
    <w:rsid w:val="46585B96"/>
    <w:rsid w:val="466C5695"/>
    <w:rsid w:val="46736916"/>
    <w:rsid w:val="468D05CE"/>
    <w:rsid w:val="46FF7BD5"/>
    <w:rsid w:val="470F78A3"/>
    <w:rsid w:val="471A14B7"/>
    <w:rsid w:val="473646FC"/>
    <w:rsid w:val="47857C94"/>
    <w:rsid w:val="47AF6127"/>
    <w:rsid w:val="47C8508A"/>
    <w:rsid w:val="47D32E64"/>
    <w:rsid w:val="487D6CF9"/>
    <w:rsid w:val="48804281"/>
    <w:rsid w:val="48AB2B47"/>
    <w:rsid w:val="49FD6A0D"/>
    <w:rsid w:val="4A634417"/>
    <w:rsid w:val="4A6766A0"/>
    <w:rsid w:val="4A88102A"/>
    <w:rsid w:val="4A8C2351"/>
    <w:rsid w:val="4A954692"/>
    <w:rsid w:val="4A955EEB"/>
    <w:rsid w:val="4AC342AA"/>
    <w:rsid w:val="4B1121B3"/>
    <w:rsid w:val="4BBA0C86"/>
    <w:rsid w:val="4BDA5581"/>
    <w:rsid w:val="4CEA0599"/>
    <w:rsid w:val="4D9A77FE"/>
    <w:rsid w:val="4D9F7B9D"/>
    <w:rsid w:val="4EA30BCD"/>
    <w:rsid w:val="4F92089C"/>
    <w:rsid w:val="4FA252B3"/>
    <w:rsid w:val="50372F04"/>
    <w:rsid w:val="50B02961"/>
    <w:rsid w:val="50C20F8E"/>
    <w:rsid w:val="51296B22"/>
    <w:rsid w:val="51DD41D3"/>
    <w:rsid w:val="51F92116"/>
    <w:rsid w:val="5253273C"/>
    <w:rsid w:val="52900446"/>
    <w:rsid w:val="52E054EB"/>
    <w:rsid w:val="53324E0A"/>
    <w:rsid w:val="53605111"/>
    <w:rsid w:val="53737E08"/>
    <w:rsid w:val="5381780D"/>
    <w:rsid w:val="542042CC"/>
    <w:rsid w:val="54497256"/>
    <w:rsid w:val="54AB4AB2"/>
    <w:rsid w:val="552A7BC8"/>
    <w:rsid w:val="55BE109B"/>
    <w:rsid w:val="55E118F5"/>
    <w:rsid w:val="5683367D"/>
    <w:rsid w:val="569C2904"/>
    <w:rsid w:val="56AC797B"/>
    <w:rsid w:val="56C01EBC"/>
    <w:rsid w:val="572D3B16"/>
    <w:rsid w:val="574F3FF6"/>
    <w:rsid w:val="57D577A7"/>
    <w:rsid w:val="57FA23C6"/>
    <w:rsid w:val="5800606D"/>
    <w:rsid w:val="584B2834"/>
    <w:rsid w:val="58794498"/>
    <w:rsid w:val="58C44EB1"/>
    <w:rsid w:val="58D25402"/>
    <w:rsid w:val="596646BA"/>
    <w:rsid w:val="59BE2B4A"/>
    <w:rsid w:val="59C3523C"/>
    <w:rsid w:val="59FC0431"/>
    <w:rsid w:val="59FE7432"/>
    <w:rsid w:val="5AEE394A"/>
    <w:rsid w:val="5B37250B"/>
    <w:rsid w:val="5B833730"/>
    <w:rsid w:val="5BC86423"/>
    <w:rsid w:val="5C171A25"/>
    <w:rsid w:val="5C853E3A"/>
    <w:rsid w:val="5CFE649F"/>
    <w:rsid w:val="5DEF17A5"/>
    <w:rsid w:val="5EB86AF5"/>
    <w:rsid w:val="5F2F57BC"/>
    <w:rsid w:val="5F4253D5"/>
    <w:rsid w:val="5F68073F"/>
    <w:rsid w:val="5FA81358"/>
    <w:rsid w:val="5FC7341A"/>
    <w:rsid w:val="601F3F2F"/>
    <w:rsid w:val="6047611E"/>
    <w:rsid w:val="604C110A"/>
    <w:rsid w:val="60680A3A"/>
    <w:rsid w:val="60AF5FB8"/>
    <w:rsid w:val="60DB227B"/>
    <w:rsid w:val="6139479A"/>
    <w:rsid w:val="619E5234"/>
    <w:rsid w:val="61AE07C7"/>
    <w:rsid w:val="62C45016"/>
    <w:rsid w:val="62DC6B16"/>
    <w:rsid w:val="62E30E34"/>
    <w:rsid w:val="63552ACC"/>
    <w:rsid w:val="638F37E5"/>
    <w:rsid w:val="63ED1601"/>
    <w:rsid w:val="641E41CE"/>
    <w:rsid w:val="645E38EF"/>
    <w:rsid w:val="646A2293"/>
    <w:rsid w:val="64821AF4"/>
    <w:rsid w:val="64D53AFD"/>
    <w:rsid w:val="64E536C8"/>
    <w:rsid w:val="64EC3722"/>
    <w:rsid w:val="651C2EE6"/>
    <w:rsid w:val="66375CC2"/>
    <w:rsid w:val="66491460"/>
    <w:rsid w:val="667A754C"/>
    <w:rsid w:val="66823A5B"/>
    <w:rsid w:val="66BF6EA0"/>
    <w:rsid w:val="67057F10"/>
    <w:rsid w:val="679A19BD"/>
    <w:rsid w:val="68251F38"/>
    <w:rsid w:val="68312DF0"/>
    <w:rsid w:val="68496314"/>
    <w:rsid w:val="68681DFB"/>
    <w:rsid w:val="690F4075"/>
    <w:rsid w:val="694C635B"/>
    <w:rsid w:val="69740693"/>
    <w:rsid w:val="69BE3F8A"/>
    <w:rsid w:val="6A066A76"/>
    <w:rsid w:val="6AEB7832"/>
    <w:rsid w:val="6B206150"/>
    <w:rsid w:val="6B2E643B"/>
    <w:rsid w:val="6B356FEF"/>
    <w:rsid w:val="6BC568FE"/>
    <w:rsid w:val="6DA700B4"/>
    <w:rsid w:val="6DAE4E6D"/>
    <w:rsid w:val="6E1C4834"/>
    <w:rsid w:val="6E5C309F"/>
    <w:rsid w:val="6E7855AD"/>
    <w:rsid w:val="6F0878F7"/>
    <w:rsid w:val="6F5638AA"/>
    <w:rsid w:val="6FDA1981"/>
    <w:rsid w:val="6FE771E8"/>
    <w:rsid w:val="70A17A56"/>
    <w:rsid w:val="711E7038"/>
    <w:rsid w:val="7156627F"/>
    <w:rsid w:val="716442CB"/>
    <w:rsid w:val="718860E6"/>
    <w:rsid w:val="71A86F83"/>
    <w:rsid w:val="72594BA8"/>
    <w:rsid w:val="72A65155"/>
    <w:rsid w:val="73B452D9"/>
    <w:rsid w:val="73E907B7"/>
    <w:rsid w:val="7461717C"/>
    <w:rsid w:val="75000EDA"/>
    <w:rsid w:val="758F436B"/>
    <w:rsid w:val="75FF7E4B"/>
    <w:rsid w:val="760011A7"/>
    <w:rsid w:val="76267108"/>
    <w:rsid w:val="765546FB"/>
    <w:rsid w:val="767C3EEE"/>
    <w:rsid w:val="76D67F05"/>
    <w:rsid w:val="76DB2B7D"/>
    <w:rsid w:val="77090774"/>
    <w:rsid w:val="771F5D7B"/>
    <w:rsid w:val="774B3061"/>
    <w:rsid w:val="781B5927"/>
    <w:rsid w:val="78403789"/>
    <w:rsid w:val="78552B83"/>
    <w:rsid w:val="78D24459"/>
    <w:rsid w:val="799D0F73"/>
    <w:rsid w:val="7B2C33A2"/>
    <w:rsid w:val="7B2C55A1"/>
    <w:rsid w:val="7B545392"/>
    <w:rsid w:val="7B843A31"/>
    <w:rsid w:val="7C897E2D"/>
    <w:rsid w:val="7CA33E88"/>
    <w:rsid w:val="7D60202E"/>
    <w:rsid w:val="7DF45DB4"/>
    <w:rsid w:val="7E8A04DC"/>
    <w:rsid w:val="7E9F10B2"/>
    <w:rsid w:val="7EB36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0" w:firstLineChars="200"/>
      <w:jc w:val="both"/>
    </w:pPr>
    <w:rPr>
      <w:rFonts w:ascii="Times New Roman" w:hAnsi="Times New Roman" w:eastAsia="仿宋" w:cstheme="minorBidi"/>
      <w:kern w:val="2"/>
      <w:sz w:val="32"/>
      <w:szCs w:val="30"/>
      <w:lang w:val="en-US" w:eastAsia="zh-CN" w:bidi="ar-SA"/>
    </w:rPr>
  </w:style>
  <w:style w:type="paragraph" w:styleId="2">
    <w:name w:val="heading 3"/>
    <w:basedOn w:val="1"/>
    <w:next w:val="1"/>
    <w:autoRedefine/>
    <w:unhideWhenUsed/>
    <w:qFormat/>
    <w:uiPriority w:val="9"/>
    <w:pPr>
      <w:keepNext/>
      <w:keepLines/>
      <w:spacing w:before="260" w:after="260" w:line="416" w:lineRule="auto"/>
      <w:outlineLvl w:val="2"/>
    </w:pPr>
    <w:rPr>
      <w:b/>
      <w:bCs/>
      <w:sz w:val="32"/>
      <w:szCs w:val="32"/>
    </w:rPr>
  </w:style>
  <w:style w:type="paragraph" w:styleId="3">
    <w:name w:val="heading 4"/>
    <w:basedOn w:val="1"/>
    <w:next w:val="1"/>
    <w:autoRedefine/>
    <w:qFormat/>
    <w:uiPriority w:val="0"/>
    <w:pPr>
      <w:keepNext/>
      <w:keepLines/>
      <w:spacing w:before="280" w:after="290" w:line="372" w:lineRule="auto"/>
      <w:outlineLvl w:val="3"/>
    </w:pPr>
    <w:rPr>
      <w:rFonts w:ascii="Arial" w:hAnsi="Arial" w:eastAsia="黑体"/>
      <w:b/>
      <w:sz w:val="28"/>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next w:val="6"/>
    <w:autoRedefine/>
    <w:qFormat/>
    <w:uiPriority w:val="0"/>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6">
    <w:name w:val="toc 1"/>
    <w:basedOn w:val="1"/>
    <w:next w:val="1"/>
    <w:autoRedefine/>
    <w:qFormat/>
    <w:uiPriority w:val="39"/>
    <w:pPr>
      <w:adjustRightInd w:val="0"/>
      <w:snapToGrid w:val="0"/>
      <w:spacing w:before="120" w:after="120"/>
      <w:jc w:val="left"/>
    </w:pPr>
    <w:rPr>
      <w:rFonts w:ascii="Calibri" w:hAnsi="Calibri" w:eastAsia="仿宋_GB2312" w:cs="Calibri"/>
      <w:b/>
      <w:bCs/>
      <w:caps/>
      <w:sz w:val="28"/>
      <w:szCs w:val="28"/>
    </w:rPr>
  </w:style>
  <w:style w:type="paragraph" w:styleId="7">
    <w:name w:val="Body Text Indent"/>
    <w:basedOn w:val="1"/>
    <w:next w:val="8"/>
    <w:autoRedefine/>
    <w:unhideWhenUsed/>
    <w:qFormat/>
    <w:uiPriority w:val="99"/>
    <w:pPr>
      <w:spacing w:after="120"/>
      <w:ind w:left="420" w:leftChars="200"/>
    </w:pPr>
  </w:style>
  <w:style w:type="paragraph" w:customStyle="1" w:styleId="8">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styleId="9">
    <w:name w:val="Block Text"/>
    <w:basedOn w:val="1"/>
    <w:autoRedefine/>
    <w:qFormat/>
    <w:uiPriority w:val="99"/>
    <w:pPr>
      <w:spacing w:line="300" w:lineRule="exact"/>
      <w:ind w:left="-105" w:leftChars="-50" w:right="-105" w:rightChars="-50" w:firstLine="0" w:firstLineChars="0"/>
      <w:jc w:val="center"/>
    </w:pPr>
    <w:rPr>
      <w:rFonts w:ascii="宋体" w:hAnsi="宋体"/>
      <w:sz w:val="18"/>
      <w:szCs w:val="20"/>
    </w:rPr>
  </w:style>
  <w:style w:type="paragraph" w:styleId="10">
    <w:name w:val="Plain Text"/>
    <w:basedOn w:val="1"/>
    <w:autoRedefine/>
    <w:qFormat/>
    <w:uiPriority w:val="0"/>
    <w:pPr>
      <w:spacing w:line="240" w:lineRule="auto"/>
      <w:ind w:firstLine="0" w:firstLineChars="0"/>
    </w:pPr>
    <w:rPr>
      <w:rFonts w:ascii="宋体" w:hAnsi="Courier New" w:cs="Courier New"/>
      <w:sz w:val="21"/>
    </w:rPr>
  </w:style>
  <w:style w:type="paragraph" w:styleId="11">
    <w:name w:val="Body Text Indent 2"/>
    <w:basedOn w:val="1"/>
    <w:autoRedefine/>
    <w:qFormat/>
    <w:uiPriority w:val="0"/>
    <w:pPr>
      <w:spacing w:after="120" w:line="480" w:lineRule="auto"/>
      <w:ind w:left="420" w:leftChars="200"/>
    </w:pPr>
    <w:rPr>
      <w:sz w:val="21"/>
      <w:szCs w:val="24"/>
    </w:rPr>
  </w:style>
  <w:style w:type="paragraph" w:styleId="12">
    <w:name w:val="footer"/>
    <w:basedOn w:val="1"/>
    <w:autoRedefine/>
    <w:unhideWhenUsed/>
    <w:qFormat/>
    <w:uiPriority w:val="99"/>
    <w:pPr>
      <w:tabs>
        <w:tab w:val="center" w:pos="4153"/>
        <w:tab w:val="right" w:pos="8306"/>
      </w:tabs>
      <w:snapToGrid w:val="0"/>
    </w:pPr>
    <w:rPr>
      <w:sz w:val="18"/>
      <w:szCs w:val="18"/>
    </w:rPr>
  </w:style>
  <w:style w:type="paragraph" w:styleId="13">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2"/>
    <w:autoRedefine/>
    <w:qFormat/>
    <w:uiPriority w:val="99"/>
    <w:pPr>
      <w:widowControl w:val="0"/>
      <w:spacing w:after="120" w:line="480" w:lineRule="auto"/>
      <w:ind w:firstLine="560" w:firstLineChars="200"/>
      <w:jc w:val="both"/>
    </w:pPr>
    <w:rPr>
      <w:rFonts w:ascii="Calibri" w:hAnsi="Calibri" w:eastAsia="仿宋" w:cstheme="minorBidi"/>
      <w:kern w:val="2"/>
      <w:sz w:val="32"/>
      <w:szCs w:val="24"/>
      <w:lang w:val="en-US" w:eastAsia="zh-CN" w:bidi="ar-SA"/>
    </w:rPr>
  </w:style>
  <w:style w:type="paragraph" w:styleId="15">
    <w:name w:val="Body Text First Indent"/>
    <w:basedOn w:val="5"/>
    <w:next w:val="5"/>
    <w:autoRedefine/>
    <w:qFormat/>
    <w:uiPriority w:val="0"/>
    <w:pPr>
      <w:ind w:firstLine="420" w:firstLineChars="100"/>
    </w:pPr>
  </w:style>
  <w:style w:type="paragraph" w:styleId="16">
    <w:name w:val="Body Text First Indent 2"/>
    <w:basedOn w:val="7"/>
    <w:next w:val="15"/>
    <w:autoRedefine/>
    <w:qFormat/>
    <w:uiPriority w:val="0"/>
    <w:pPr>
      <w:ind w:firstLine="420" w:firstLineChars="200"/>
    </w:pPr>
  </w:style>
  <w:style w:type="character" w:styleId="19">
    <w:name w:val="Emphasis"/>
    <w:basedOn w:val="18"/>
    <w:autoRedefine/>
    <w:qFormat/>
    <w:uiPriority w:val="20"/>
    <w:rPr>
      <w:i/>
    </w:rPr>
  </w:style>
  <w:style w:type="paragraph" w:customStyle="1" w:styleId="20">
    <w:name w:val="列出段落1"/>
    <w:autoRedefine/>
    <w:qFormat/>
    <w:uiPriority w:val="34"/>
    <w:pPr>
      <w:widowControl w:val="0"/>
      <w:spacing w:line="360" w:lineRule="auto"/>
      <w:ind w:firstLine="420" w:firstLineChars="200"/>
      <w:jc w:val="both"/>
    </w:pPr>
    <w:rPr>
      <w:rFonts w:ascii="Calibri" w:hAnsi="Calibri" w:eastAsia="仿宋" w:cstheme="minorBidi"/>
      <w:kern w:val="2"/>
      <w:sz w:val="28"/>
      <w:szCs w:val="28"/>
      <w:lang w:val="en-US" w:eastAsia="zh-CN" w:bidi="ar-SA"/>
    </w:rPr>
  </w:style>
  <w:style w:type="paragraph" w:customStyle="1" w:styleId="21">
    <w:name w:val="样式8"/>
    <w:basedOn w:val="1"/>
    <w:link w:val="26"/>
    <w:autoRedefine/>
    <w:qFormat/>
    <w:uiPriority w:val="0"/>
    <w:pPr>
      <w:spacing w:line="360" w:lineRule="auto"/>
      <w:ind w:firstLine="720" w:firstLineChars="200"/>
      <w:jc w:val="both"/>
    </w:pPr>
    <w:rPr>
      <w:rFonts w:ascii="Times New Roman" w:hAnsi="Times New Roman" w:eastAsia="仿宋"/>
      <w:sz w:val="28"/>
      <w:szCs w:val="24"/>
    </w:rPr>
  </w:style>
  <w:style w:type="character" w:customStyle="1" w:styleId="22">
    <w:name w:val="样式8 Char"/>
    <w:link w:val="21"/>
    <w:autoRedefine/>
    <w:qFormat/>
    <w:uiPriority w:val="0"/>
    <w:rPr>
      <w:rFonts w:ascii="Times New Roman" w:hAnsi="Times New Roman" w:eastAsia="仿宋"/>
      <w:sz w:val="28"/>
    </w:rPr>
  </w:style>
  <w:style w:type="paragraph" w:customStyle="1" w:styleId="23">
    <w:name w:val="Default"/>
    <w:autoRedefine/>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character" w:customStyle="1" w:styleId="24">
    <w:name w:val="font21"/>
    <w:basedOn w:val="18"/>
    <w:autoRedefine/>
    <w:qFormat/>
    <w:uiPriority w:val="0"/>
    <w:rPr>
      <w:rFonts w:hint="default" w:ascii="Times New Roman" w:hAnsi="Times New Roman" w:cs="Times New Roman"/>
      <w:color w:val="000000"/>
      <w:sz w:val="28"/>
      <w:szCs w:val="28"/>
      <w:u w:val="none"/>
    </w:rPr>
  </w:style>
  <w:style w:type="character" w:customStyle="1" w:styleId="25">
    <w:name w:val="font31"/>
    <w:basedOn w:val="18"/>
    <w:autoRedefine/>
    <w:qFormat/>
    <w:uiPriority w:val="0"/>
    <w:rPr>
      <w:rFonts w:hint="eastAsia" w:ascii="宋体" w:hAnsi="宋体" w:eastAsia="宋体" w:cs="宋体"/>
      <w:color w:val="000000"/>
      <w:sz w:val="20"/>
      <w:szCs w:val="20"/>
      <w:u w:val="none"/>
    </w:rPr>
  </w:style>
  <w:style w:type="character" w:customStyle="1" w:styleId="26">
    <w:name w:val="样式8 Char1"/>
    <w:link w:val="21"/>
    <w:autoRedefine/>
    <w:qFormat/>
    <w:uiPriority w:val="0"/>
    <w:rPr>
      <w:rFonts w:ascii="Times New Roman" w:hAnsi="Times New Roman" w:eastAsia="仿宋"/>
      <w:sz w:val="28"/>
      <w:szCs w:val="24"/>
    </w:rPr>
  </w:style>
  <w:style w:type="paragraph" w:customStyle="1" w:styleId="27">
    <w:name w:val="Body text|1"/>
    <w:basedOn w:val="1"/>
    <w:autoRedefine/>
    <w:qFormat/>
    <w:uiPriority w:val="0"/>
    <w:pPr>
      <w:widowControl w:val="0"/>
      <w:shd w:val="clear" w:color="auto" w:fill="auto"/>
      <w:spacing w:line="470" w:lineRule="auto"/>
      <w:ind w:firstLine="400"/>
    </w:pPr>
    <w:rPr>
      <w:rFonts w:ascii="宋体" w:hAnsi="宋体" w:eastAsia="宋体" w:cs="宋体"/>
      <w:sz w:val="28"/>
      <w:szCs w:val="28"/>
      <w:u w:val="none"/>
      <w:shd w:val="clear" w:color="auto" w:fill="auto"/>
      <w:lang w:val="zh-TW" w:eastAsia="zh-TW" w:bidi="zh-TW"/>
    </w:rPr>
  </w:style>
  <w:style w:type="character" w:customStyle="1" w:styleId="28">
    <w:name w:val="font101"/>
    <w:basedOn w:val="18"/>
    <w:autoRedefine/>
    <w:qFormat/>
    <w:uiPriority w:val="0"/>
    <w:rPr>
      <w:rFonts w:ascii="仿宋" w:hAnsi="仿宋" w:eastAsia="仿宋" w:cs="仿宋"/>
      <w:b/>
      <w:bCs/>
      <w:color w:val="000000"/>
      <w:sz w:val="20"/>
      <w:szCs w:val="20"/>
      <w:u w:val="none"/>
    </w:rPr>
  </w:style>
  <w:style w:type="character" w:customStyle="1" w:styleId="29">
    <w:name w:val="font112"/>
    <w:basedOn w:val="18"/>
    <w:autoRedefine/>
    <w:qFormat/>
    <w:uiPriority w:val="0"/>
    <w:rPr>
      <w:rFonts w:hint="eastAsia" w:ascii="仿宋" w:hAnsi="仿宋" w:eastAsia="仿宋" w:cs="仿宋"/>
      <w:b/>
      <w:bCs/>
      <w:color w:val="000000"/>
      <w:sz w:val="20"/>
      <w:szCs w:val="20"/>
      <w:u w:val="none"/>
    </w:rPr>
  </w:style>
  <w:style w:type="character" w:customStyle="1" w:styleId="30">
    <w:name w:val="font121"/>
    <w:basedOn w:val="18"/>
    <w:autoRedefine/>
    <w:qFormat/>
    <w:uiPriority w:val="0"/>
    <w:rPr>
      <w:rFonts w:hint="eastAsia" w:ascii="仿宋" w:hAnsi="仿宋" w:eastAsia="仿宋" w:cs="仿宋"/>
      <w:color w:val="000000"/>
      <w:sz w:val="20"/>
      <w:szCs w:val="20"/>
      <w:u w:val="none"/>
    </w:rPr>
  </w:style>
  <w:style w:type="character" w:customStyle="1" w:styleId="31">
    <w:name w:val="font51"/>
    <w:basedOn w:val="18"/>
    <w:autoRedefine/>
    <w:qFormat/>
    <w:uiPriority w:val="0"/>
    <w:rPr>
      <w:rFonts w:hint="default" w:ascii="Times New Roman" w:hAnsi="Times New Roman" w:cs="Times New Roman"/>
      <w:color w:val="000000"/>
      <w:sz w:val="20"/>
      <w:szCs w:val="20"/>
      <w:u w:val="none"/>
    </w:rPr>
  </w:style>
  <w:style w:type="character" w:customStyle="1" w:styleId="32">
    <w:name w:val="font122"/>
    <w:basedOn w:val="18"/>
    <w:autoRedefine/>
    <w:qFormat/>
    <w:uiPriority w:val="0"/>
    <w:rPr>
      <w:rFonts w:ascii="仿宋" w:hAnsi="仿宋" w:eastAsia="仿宋" w:cs="仿宋"/>
      <w:b/>
      <w:bCs/>
      <w:color w:val="000000"/>
      <w:sz w:val="20"/>
      <w:szCs w:val="20"/>
      <w:u w:val="none"/>
    </w:rPr>
  </w:style>
  <w:style w:type="character" w:customStyle="1" w:styleId="33">
    <w:name w:val="font131"/>
    <w:basedOn w:val="18"/>
    <w:autoRedefine/>
    <w:qFormat/>
    <w:uiPriority w:val="0"/>
    <w:rPr>
      <w:rFonts w:hint="eastAsia" w:ascii="仿宋" w:hAnsi="仿宋" w:eastAsia="仿宋" w:cs="仿宋"/>
      <w:color w:val="000000"/>
      <w:sz w:val="20"/>
      <w:szCs w:val="20"/>
      <w:u w:val="none"/>
    </w:rPr>
  </w:style>
  <w:style w:type="character" w:customStyle="1" w:styleId="34">
    <w:name w:val="font61"/>
    <w:basedOn w:val="18"/>
    <w:autoRedefine/>
    <w:qFormat/>
    <w:uiPriority w:val="0"/>
    <w:rPr>
      <w:rFonts w:hint="default" w:ascii="Times New Roman" w:hAnsi="Times New Roman" w:cs="Times New Roman"/>
      <w:color w:val="000000"/>
      <w:sz w:val="20"/>
      <w:szCs w:val="20"/>
      <w:u w:val="none"/>
    </w:rPr>
  </w:style>
  <w:style w:type="paragraph" w:styleId="35">
    <w:name w:val="List Paragraph"/>
    <w:basedOn w:val="1"/>
    <w:autoRedefine/>
    <w:qFormat/>
    <w:uiPriority w:val="1"/>
    <w:pPr>
      <w:ind w:left="758" w:hanging="705"/>
    </w:pPr>
    <w:rPr>
      <w:rFonts w:ascii="宋体" w:hAnsi="宋体" w:eastAsia="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5575</Words>
  <Characters>6149</Characters>
  <Lines>0</Lines>
  <Paragraphs>0</Paragraphs>
  <TotalTime>12</TotalTime>
  <ScaleCrop>false</ScaleCrop>
  <LinksUpToDate>false</LinksUpToDate>
  <CharactersWithSpaces>6149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2019-12-07T12:57:00Z</dcterms:created>
  <dc:creator>李仕林</dc:creator>
  <cp:lastModifiedBy>斤欠</cp:lastModifiedBy>
  <cp:lastPrinted>2024-08-15T01:46:00Z</cp:lastPrinted>
  <dcterms:modified xsi:type="dcterms:W3CDTF">2026-05-21T03:23:53Z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968425AC6CB84978A027FB53345EAF2F_13</vt:lpwstr>
  </property>
  <property fmtid="{D5CDD505-2E9C-101B-9397-08002B2CF9AE}" pid="4" name="KSOTemplateDocerSaveRecord">
    <vt:lpwstr>eyJoZGlkIjoiZDJjM2ZlYjk3YjYwOGZiZTg3NGNkMGMzMTk3ZjgyMjgiLCJ1c2VySWQiOiI2MDc3NzExNDMifQ==</vt:lpwstr>
  </property>
</Properties>
</file>